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sz w:val="30"/>
          <w:szCs w:val="30"/>
        </w:rPr>
      </w:pPr>
      <w:r>
        <w:rPr>
          <w:rFonts w:eastAsia="Calibri" w:cs="Arial" w:ascii="Calibri" w:hAnsi="Calibri" w:asciiTheme="minorHAnsi" w:hAnsiTheme="minorHAnsi"/>
          <w:b/>
          <w:bCs/>
          <w:sz w:val="30"/>
          <w:szCs w:val="30"/>
        </w:rPr>
        <w:t>Wymagania edukacyjne z geografii dla klasy 5</w:t>
      </w:r>
    </w:p>
    <w:p>
      <w:pPr>
        <w:pStyle w:val="Normal"/>
        <w:spacing w:before="0" w:after="120"/>
        <w:rPr>
          <w:rFonts w:ascii="Calibri" w:hAnsi="Calibri" w:eastAsia="Calibri" w:cs="Arial" w:asciiTheme="minorHAnsi" w:hAnsiTheme="minorHAnsi"/>
          <w:b/>
          <w:b/>
          <w:bCs/>
          <w:sz w:val="20"/>
          <w:szCs w:val="20"/>
        </w:rPr>
      </w:pPr>
      <w:r>
        <w:rPr>
          <w:rFonts w:eastAsia="Calibri" w:cs="Arial" w:ascii="Calibri" w:hAnsi="Calibri"/>
          <w:b/>
          <w:bCs/>
          <w:sz w:val="20"/>
          <w:szCs w:val="20"/>
        </w:rPr>
      </w:r>
    </w:p>
    <w:p>
      <w:pPr>
        <w:pStyle w:val="Normal"/>
        <w:spacing w:before="0" w:after="120"/>
        <w:rPr/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Ocenę niedostateczną otrzymuje uczeń, który nie opanował nawet minimum wiadomości i umiejętności objętych podstawą programową w danej klasie, nie wykonuje większości zadań ani poleceń nauczyciela, wykazuje się dużą niechęcią do nauki, zaniedbuje wykonywanie prac domowych, nie angażuje się w pracę grupy , nie jest w stanie rozwiązać (wykonać) zadań o niewielkim (elementarnym) stopniu trudności, braki w wiadomościach  i umiejętnościach uniemożliwiają dalsze zdobywanie wiedzy z tego przedmiotu. </w:t>
      </w:r>
    </w:p>
    <w:p>
      <w:pPr>
        <w:pStyle w:val="Normal"/>
        <w:rPr/>
      </w:pPr>
      <w:r>
        <w:rPr/>
        <w:t xml:space="preserve">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br/>
      </w:r>
    </w:p>
    <w:tbl>
      <w:tblPr>
        <w:tblW w:w="15875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1"/>
        <w:gridCol w:w="3172"/>
        <w:gridCol w:w="3174"/>
        <w:gridCol w:w="3175"/>
        <w:gridCol w:w="3183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70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ocena celująca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numPr>
                <w:ilvl w:val="0"/>
                <w:numId w:val="3"/>
              </w:numPr>
              <w:tabs>
                <w:tab w:val="clear" w:pos="709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Uczeń: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na podstawie ilustracji piętra roślinności w Tatrach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omawia atrakcje turystyczne na Szlaku Zabytków Techniki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numPr>
                <w:ilvl w:val="0"/>
                <w:numId w:val="4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planuje na podstawie planu miasta wycieczkę po Warszawie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Himalaje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oblicza średnią roczną 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temperaturę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276" w:right="1103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65441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20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"/>
    <w:qFormat/>
    <w:pPr>
      <w:keepNext w:val="true"/>
      <w:keepLines/>
      <w:widowControl/>
      <w:overflowPunct w:val="false"/>
      <w:bidi w:val="0"/>
      <w:spacing w:lineRule="auto" w:line="259" w:before="0" w:after="44"/>
      <w:ind w:left="120" w:right="0" w:hanging="10"/>
      <w:jc w:val="left"/>
      <w:outlineLvl w:val="1"/>
    </w:pPr>
    <w:rPr>
      <w:rFonts w:ascii="Calibri" w:hAnsi="Calibri" w:eastAsia="Calibri" w:cs="Calibri"/>
      <w:b/>
      <w:color w:val="231F20"/>
      <w:kern w:val="2"/>
      <w:sz w:val="20"/>
      <w:szCs w:val="24"/>
      <w:lang w:val="pl-PL" w:eastAsia="zh-CN" w:bidi="hi-IN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Calibri" w:cs="Humanst521EU"/>
      <w:sz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Humanst521EU"/>
    </w:rPr>
  </w:style>
  <w:style w:type="character" w:styleId="ListLabel25">
    <w:name w:val="ListLabel 25"/>
    <w:qFormat/>
    <w:rPr>
      <w:sz w:val="1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231F20"/>
      <w:position w:val="0"/>
      <w:sz w:val="17"/>
      <w:sz w:val="17"/>
      <w:szCs w:val="17"/>
      <w:u w:val="none"/>
      <w:vertAlign w:val="baseline"/>
    </w:rPr>
  </w:style>
  <w:style w:type="character" w:styleId="Nagwek2Znak">
    <w:name w:val="Nagłówek 2 Znak"/>
    <w:qFormat/>
    <w:rPr>
      <w:rFonts w:ascii="Calibri" w:hAnsi="Calibri" w:eastAsia="Calibri" w:cs="Calibri"/>
      <w:b/>
      <w:color w:val="231F20"/>
      <w:sz w:val="20"/>
    </w:rPr>
  </w:style>
  <w:style w:type="character" w:styleId="ListLabel55">
    <w:name w:val="ListLabel 55"/>
    <w:qFormat/>
    <w:rPr>
      <w:rFonts w:ascii="Calibri" w:hAnsi="Calibri" w:cs="Symbol"/>
      <w:sz w:val="20"/>
    </w:rPr>
  </w:style>
  <w:style w:type="character" w:styleId="ListLabel56">
    <w:name w:val="ListLabel 56"/>
    <w:qFormat/>
    <w:rPr>
      <w:rFonts w:ascii="Calibri" w:hAnsi="Calibri" w:cs="Symbol"/>
      <w:sz w:val="20"/>
    </w:rPr>
  </w:style>
  <w:style w:type="character" w:styleId="ListLabel57">
    <w:name w:val="ListLabel 57"/>
    <w:qFormat/>
    <w:rPr>
      <w:rFonts w:ascii="Calibri" w:hAnsi="Calibri" w:cs="Humanst521EU"/>
      <w:sz w:val="20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Calibri" w:hAnsi="Calibri"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Calibri" w:hAnsi="Calibri" w:cs="Symbol"/>
      <w:sz w:val="20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libri" w:hAnsi="Calibri" w:cs="Symbol"/>
      <w:sz w:val="20"/>
    </w:rPr>
  </w:style>
  <w:style w:type="character" w:styleId="ListLabel84">
    <w:name w:val="ListLabel 84"/>
    <w:qFormat/>
    <w:rPr>
      <w:rFonts w:cs="Arial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0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0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Symbol"/>
      <w:sz w:val="20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000000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zh-CN" w:bidi="hi-IN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Application>Ultra_Office/6.2.3.2$Windows_x86 LibreOffice_project/</Application>
  <Pages>5</Pages>
  <Words>1889</Words>
  <Characters>12123</Characters>
  <CharactersWithSpaces>13634</CharactersWithSpaces>
  <Paragraphs>235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/>
  <cp:lastPrinted>2018-02-15T16:14:00Z</cp:lastPrinted>
  <dcterms:modified xsi:type="dcterms:W3CDTF">2023-09-19T11:06:20Z</dcterms:modified>
  <cp:revision>13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