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F42" w:rsidRPr="00384F42" w:rsidRDefault="00384F42" w:rsidP="00384F42">
      <w:r w:rsidRPr="00384F42">
        <w:tab/>
      </w:r>
      <w:r w:rsidRPr="00384F42">
        <w:tab/>
      </w:r>
      <w:r w:rsidRPr="00384F42">
        <w:tab/>
      </w:r>
      <w:r w:rsidRPr="00384F42">
        <w:tab/>
        <w:t xml:space="preserve">     </w:t>
      </w:r>
    </w:p>
    <w:p w:rsidR="00384F42" w:rsidRPr="00384F42" w:rsidRDefault="00384F42" w:rsidP="00384F42">
      <w:pPr>
        <w:rPr>
          <w:b/>
        </w:rPr>
      </w:pPr>
    </w:p>
    <w:tbl>
      <w:tblPr>
        <w:tblpPr w:leftFromText="141" w:rightFromText="141" w:bottomFromText="160" w:vertAnchor="page" w:horzAnchor="margin" w:tblpY="2236"/>
        <w:tblW w:w="9344" w:type="dxa"/>
        <w:tblCellMar>
          <w:top w:w="63" w:type="dxa"/>
          <w:left w:w="106" w:type="dxa"/>
          <w:bottom w:w="193" w:type="dxa"/>
          <w:right w:w="179" w:type="dxa"/>
        </w:tblCellMar>
        <w:tblLook w:val="04A0" w:firstRow="1" w:lastRow="0" w:firstColumn="1" w:lastColumn="0" w:noHBand="0" w:noVBand="1"/>
      </w:tblPr>
      <w:tblGrid>
        <w:gridCol w:w="1808"/>
        <w:gridCol w:w="1512"/>
        <w:gridCol w:w="1150"/>
        <w:gridCol w:w="716"/>
        <w:gridCol w:w="4158"/>
      </w:tblGrid>
      <w:tr w:rsidR="00384F42" w:rsidRPr="00384F42" w:rsidTr="00384F42">
        <w:trPr>
          <w:trHeight w:val="1280"/>
        </w:trPr>
        <w:tc>
          <w:tcPr>
            <w:tcW w:w="9344" w:type="dxa"/>
            <w:gridSpan w:val="5"/>
            <w:tcBorders>
              <w:top w:val="double" w:sz="12" w:space="0" w:color="000000"/>
              <w:left w:val="double" w:sz="12" w:space="0" w:color="000000"/>
              <w:bottom w:val="single" w:sz="6" w:space="0" w:color="000000"/>
              <w:right w:val="double" w:sz="12" w:space="0" w:color="000000"/>
            </w:tcBorders>
            <w:vAlign w:val="bottom"/>
            <w:hideMark/>
          </w:tcPr>
          <w:p w:rsidR="00384F42" w:rsidRPr="00384F42" w:rsidRDefault="00384F42" w:rsidP="00384F42">
            <w:pPr>
              <w:rPr>
                <w:b/>
              </w:rPr>
            </w:pPr>
            <w:r w:rsidRPr="00384F42">
              <w:rPr>
                <w:b/>
              </w:rPr>
              <w:t>Odborné učilište internátne</w:t>
            </w:r>
          </w:p>
          <w:p w:rsidR="00384F42" w:rsidRPr="00384F42" w:rsidRDefault="00384F42" w:rsidP="00384F42">
            <w:pPr>
              <w:rPr>
                <w:b/>
              </w:rPr>
            </w:pPr>
            <w:r w:rsidRPr="00384F42">
              <w:rPr>
                <w:b/>
              </w:rPr>
              <w:t xml:space="preserve"> Švermova1, VALASKÁ</w:t>
            </w:r>
          </w:p>
        </w:tc>
      </w:tr>
      <w:tr w:rsidR="00384F42" w:rsidRPr="00384F42" w:rsidTr="00384F42">
        <w:trPr>
          <w:trHeight w:val="808"/>
        </w:trPr>
        <w:tc>
          <w:tcPr>
            <w:tcW w:w="5186" w:type="dxa"/>
            <w:gridSpan w:val="4"/>
            <w:tcBorders>
              <w:top w:val="double" w:sz="12" w:space="0" w:color="000000"/>
              <w:left w:val="double" w:sz="12" w:space="0" w:color="000000"/>
              <w:bottom w:val="single" w:sz="6" w:space="0" w:color="000000"/>
              <w:right w:val="single" w:sz="6" w:space="0" w:color="000000"/>
            </w:tcBorders>
            <w:hideMark/>
          </w:tcPr>
          <w:p w:rsidR="00384F42" w:rsidRPr="00384F42" w:rsidRDefault="00384F42" w:rsidP="00384F42">
            <w:r w:rsidRPr="00384F42">
              <w:rPr>
                <w:b/>
                <w:bCs/>
              </w:rPr>
              <w:t>Smernica  č. OUI/48/2022/OUI o protispoločenskej činnosti</w:t>
            </w:r>
          </w:p>
        </w:tc>
        <w:tc>
          <w:tcPr>
            <w:tcW w:w="4158" w:type="dxa"/>
            <w:tcBorders>
              <w:top w:val="double" w:sz="12" w:space="0" w:color="000000"/>
              <w:left w:val="single" w:sz="6" w:space="0" w:color="000000"/>
              <w:bottom w:val="single" w:sz="6" w:space="0" w:color="000000"/>
              <w:right w:val="double" w:sz="12" w:space="0" w:color="000000"/>
            </w:tcBorders>
          </w:tcPr>
          <w:p w:rsidR="00384F42" w:rsidRPr="00384F42" w:rsidRDefault="00384F42" w:rsidP="00384F42">
            <w:pPr>
              <w:rPr>
                <w:b/>
              </w:rPr>
            </w:pPr>
          </w:p>
        </w:tc>
      </w:tr>
      <w:tr w:rsidR="00384F42" w:rsidRPr="00384F42" w:rsidTr="00384F42">
        <w:trPr>
          <w:trHeight w:val="1095"/>
        </w:trPr>
        <w:tc>
          <w:tcPr>
            <w:tcW w:w="1808" w:type="dxa"/>
            <w:tcBorders>
              <w:top w:val="single" w:sz="6" w:space="0" w:color="000000"/>
              <w:left w:val="double" w:sz="12" w:space="0" w:color="000000"/>
              <w:bottom w:val="single" w:sz="6" w:space="0" w:color="000000"/>
              <w:right w:val="single" w:sz="6" w:space="0" w:color="000000"/>
            </w:tcBorders>
            <w:hideMark/>
          </w:tcPr>
          <w:p w:rsidR="00384F42" w:rsidRPr="00384F42" w:rsidRDefault="00384F42" w:rsidP="00384F42">
            <w:r w:rsidRPr="00384F42">
              <w:t xml:space="preserve">Výtlačok č. </w:t>
            </w:r>
          </w:p>
          <w:p w:rsidR="00384F42" w:rsidRPr="00384F42" w:rsidRDefault="00384F42" w:rsidP="00384F42">
            <w:r w:rsidRPr="00384F42">
              <w:t xml:space="preserve">1 </w:t>
            </w:r>
          </w:p>
        </w:tc>
        <w:tc>
          <w:tcPr>
            <w:tcW w:w="1512" w:type="dxa"/>
            <w:tcBorders>
              <w:top w:val="single" w:sz="6" w:space="0" w:color="000000"/>
              <w:left w:val="single" w:sz="6" w:space="0" w:color="000000"/>
              <w:bottom w:val="single" w:sz="6" w:space="0" w:color="000000"/>
              <w:right w:val="single" w:sz="6" w:space="0" w:color="000000"/>
            </w:tcBorders>
            <w:hideMark/>
          </w:tcPr>
          <w:p w:rsidR="00384F42" w:rsidRPr="00384F42" w:rsidRDefault="00384F42" w:rsidP="00384F42">
            <w:r w:rsidRPr="00384F42">
              <w:t xml:space="preserve">Zmena č. </w:t>
            </w:r>
          </w:p>
          <w:p w:rsidR="00384F42" w:rsidRPr="00384F42" w:rsidRDefault="00384F42" w:rsidP="00384F42">
            <w:r w:rsidRPr="00384F42">
              <w:t xml:space="preserve"> </w:t>
            </w:r>
          </w:p>
        </w:tc>
        <w:tc>
          <w:tcPr>
            <w:tcW w:w="1866" w:type="dxa"/>
            <w:gridSpan w:val="2"/>
            <w:tcBorders>
              <w:top w:val="single" w:sz="6" w:space="0" w:color="000000"/>
              <w:left w:val="single" w:sz="6" w:space="0" w:color="000000"/>
              <w:bottom w:val="single" w:sz="6" w:space="0" w:color="000000"/>
              <w:right w:val="single" w:sz="6" w:space="0" w:color="000000"/>
            </w:tcBorders>
            <w:hideMark/>
          </w:tcPr>
          <w:p w:rsidR="00384F42" w:rsidRPr="00384F42" w:rsidRDefault="00384F42" w:rsidP="00384F42">
            <w:r w:rsidRPr="00384F42">
              <w:t xml:space="preserve">Počet strán </w:t>
            </w:r>
          </w:p>
          <w:p w:rsidR="00384F42" w:rsidRPr="00384F42" w:rsidRDefault="00384F42" w:rsidP="00384F42">
            <w:r w:rsidRPr="00384F42">
              <w:t>4</w:t>
            </w:r>
          </w:p>
        </w:tc>
        <w:tc>
          <w:tcPr>
            <w:tcW w:w="4158" w:type="dxa"/>
            <w:tcBorders>
              <w:top w:val="single" w:sz="6" w:space="0" w:color="000000"/>
              <w:left w:val="single" w:sz="6" w:space="0" w:color="000000"/>
              <w:bottom w:val="single" w:sz="6" w:space="0" w:color="000000"/>
              <w:right w:val="double" w:sz="12" w:space="0" w:color="000000"/>
            </w:tcBorders>
            <w:hideMark/>
          </w:tcPr>
          <w:p w:rsidR="00384F42" w:rsidRPr="00384F42" w:rsidRDefault="00384F42" w:rsidP="00384F42">
            <w:r w:rsidRPr="00384F42">
              <w:t>Zo dňa</w:t>
            </w:r>
          </w:p>
          <w:p w:rsidR="00384F42" w:rsidRPr="00384F42" w:rsidRDefault="00384F42" w:rsidP="00384F42">
            <w:r w:rsidRPr="00384F42">
              <w:t xml:space="preserve"> 29.01. 2024 </w:t>
            </w:r>
          </w:p>
        </w:tc>
      </w:tr>
      <w:tr w:rsidR="00384F42" w:rsidRPr="00384F42" w:rsidTr="00384F42">
        <w:trPr>
          <w:trHeight w:val="3069"/>
        </w:trPr>
        <w:tc>
          <w:tcPr>
            <w:tcW w:w="9344" w:type="dxa"/>
            <w:gridSpan w:val="5"/>
            <w:tcBorders>
              <w:top w:val="double" w:sz="6" w:space="0" w:color="000000"/>
              <w:left w:val="double" w:sz="12" w:space="0" w:color="000000"/>
              <w:bottom w:val="single" w:sz="6" w:space="0" w:color="000000"/>
              <w:right w:val="double" w:sz="12" w:space="0" w:color="000000"/>
            </w:tcBorders>
            <w:vAlign w:val="center"/>
          </w:tcPr>
          <w:p w:rsidR="00384F42" w:rsidRPr="00384F42" w:rsidRDefault="00384F42" w:rsidP="00384F42">
            <w:pPr>
              <w:rPr>
                <w:b/>
                <w:bCs/>
              </w:rPr>
            </w:pPr>
            <w:r w:rsidRPr="00384F42">
              <w:rPr>
                <w:b/>
                <w:bCs/>
              </w:rPr>
              <w:t xml:space="preserve">Dodatok č.3 </w:t>
            </w:r>
            <w:proofErr w:type="spellStart"/>
            <w:r w:rsidRPr="00384F42">
              <w:rPr>
                <w:b/>
                <w:bCs/>
              </w:rPr>
              <w:t>č.OUI</w:t>
            </w:r>
            <w:proofErr w:type="spellEnd"/>
            <w:r w:rsidRPr="00384F42">
              <w:rPr>
                <w:b/>
                <w:bCs/>
              </w:rPr>
              <w:t>/48/2022/OUI</w:t>
            </w:r>
          </w:p>
          <w:p w:rsidR="00384F42" w:rsidRPr="00384F42" w:rsidRDefault="00384F42" w:rsidP="00384F42">
            <w:r w:rsidRPr="00384F42">
              <w:rPr>
                <w:b/>
                <w:bCs/>
              </w:rPr>
              <w:t xml:space="preserve"> k smernici o protispoločenskej činnosti</w:t>
            </w:r>
          </w:p>
          <w:p w:rsidR="00384F42" w:rsidRPr="00384F42" w:rsidRDefault="00384F42" w:rsidP="00384F42"/>
        </w:tc>
      </w:tr>
      <w:tr w:rsidR="00384F42" w:rsidRPr="00384F42" w:rsidTr="00384F42">
        <w:trPr>
          <w:trHeight w:val="542"/>
        </w:trPr>
        <w:tc>
          <w:tcPr>
            <w:tcW w:w="4470" w:type="dxa"/>
            <w:gridSpan w:val="3"/>
            <w:tcBorders>
              <w:top w:val="single" w:sz="6" w:space="0" w:color="000000"/>
              <w:left w:val="double" w:sz="12" w:space="0" w:color="000000"/>
              <w:bottom w:val="single" w:sz="6" w:space="0" w:color="000000"/>
              <w:right w:val="double" w:sz="12" w:space="0" w:color="000000"/>
            </w:tcBorders>
            <w:hideMark/>
          </w:tcPr>
          <w:p w:rsidR="00384F42" w:rsidRPr="00384F42" w:rsidRDefault="00384F42" w:rsidP="00384F42">
            <w:r w:rsidRPr="00384F42">
              <w:t xml:space="preserve">Vypracovala:  Mgr. Iveta </w:t>
            </w:r>
            <w:proofErr w:type="spellStart"/>
            <w:r w:rsidRPr="00384F42">
              <w:t>Setváková</w:t>
            </w:r>
            <w:proofErr w:type="spellEnd"/>
            <w:r w:rsidRPr="00384F42">
              <w:t xml:space="preserve"> </w:t>
            </w:r>
          </w:p>
        </w:tc>
        <w:tc>
          <w:tcPr>
            <w:tcW w:w="4874" w:type="dxa"/>
            <w:gridSpan w:val="2"/>
            <w:tcBorders>
              <w:top w:val="single" w:sz="6" w:space="0" w:color="000000"/>
              <w:left w:val="double" w:sz="12" w:space="0" w:color="000000"/>
              <w:bottom w:val="single" w:sz="6" w:space="0" w:color="000000"/>
              <w:right w:val="double" w:sz="12" w:space="0" w:color="000000"/>
            </w:tcBorders>
          </w:tcPr>
          <w:p w:rsidR="00384F42" w:rsidRPr="00384F42" w:rsidRDefault="00384F42" w:rsidP="00384F42">
            <w:pPr>
              <w:rPr>
                <w:b/>
              </w:rPr>
            </w:pPr>
            <w:r w:rsidRPr="00384F42">
              <w:rPr>
                <w:b/>
                <w:bCs/>
              </w:rPr>
              <w:t>Rozsah platnosti:</w:t>
            </w:r>
            <w:r w:rsidRPr="00384F42">
              <w:rPr>
                <w:b/>
              </w:rPr>
              <w:tab/>
            </w:r>
          </w:p>
          <w:p w:rsidR="00384F42" w:rsidRPr="00384F42" w:rsidRDefault="00384F42" w:rsidP="00384F42">
            <w:pPr>
              <w:rPr>
                <w:b/>
                <w:bCs/>
              </w:rPr>
            </w:pPr>
            <w:r w:rsidRPr="00384F42">
              <w:rPr>
                <w:bCs/>
              </w:rPr>
              <w:t>Platí pre všetkých zamestnancov Odborného učilišťa internátneho</w:t>
            </w:r>
          </w:p>
          <w:p w:rsidR="00384F42" w:rsidRPr="00384F42" w:rsidRDefault="00384F42" w:rsidP="00384F42"/>
        </w:tc>
      </w:tr>
      <w:tr w:rsidR="00384F42" w:rsidRPr="00384F42" w:rsidTr="00384F42">
        <w:trPr>
          <w:trHeight w:val="564"/>
        </w:trPr>
        <w:tc>
          <w:tcPr>
            <w:tcW w:w="4470" w:type="dxa"/>
            <w:gridSpan w:val="3"/>
            <w:tcBorders>
              <w:top w:val="single" w:sz="6" w:space="0" w:color="000000"/>
              <w:left w:val="double" w:sz="12" w:space="0" w:color="000000"/>
              <w:bottom w:val="single" w:sz="6" w:space="0" w:color="000000"/>
              <w:right w:val="double" w:sz="12" w:space="0" w:color="000000"/>
            </w:tcBorders>
            <w:hideMark/>
          </w:tcPr>
          <w:p w:rsidR="00384F42" w:rsidRPr="00384F42" w:rsidRDefault="00384F42" w:rsidP="00384F42">
            <w:r w:rsidRPr="00384F42">
              <w:t xml:space="preserve">Funkcia riaditeľka školy: </w:t>
            </w:r>
          </w:p>
        </w:tc>
        <w:tc>
          <w:tcPr>
            <w:tcW w:w="4874" w:type="dxa"/>
            <w:gridSpan w:val="2"/>
            <w:tcBorders>
              <w:top w:val="single" w:sz="6" w:space="0" w:color="000000"/>
              <w:left w:val="double" w:sz="12" w:space="0" w:color="000000"/>
              <w:bottom w:val="single" w:sz="6" w:space="0" w:color="000000"/>
              <w:right w:val="double" w:sz="12" w:space="0" w:color="000000"/>
            </w:tcBorders>
          </w:tcPr>
          <w:p w:rsidR="00384F42" w:rsidRPr="00384F42" w:rsidRDefault="00384F42" w:rsidP="00384F42"/>
        </w:tc>
      </w:tr>
      <w:tr w:rsidR="00384F42" w:rsidRPr="00384F42" w:rsidTr="00384F42">
        <w:trPr>
          <w:trHeight w:val="542"/>
        </w:trPr>
        <w:tc>
          <w:tcPr>
            <w:tcW w:w="4470" w:type="dxa"/>
            <w:gridSpan w:val="3"/>
            <w:tcBorders>
              <w:top w:val="single" w:sz="6" w:space="0" w:color="000000"/>
              <w:left w:val="double" w:sz="12" w:space="0" w:color="000000"/>
              <w:bottom w:val="single" w:sz="6" w:space="0" w:color="000000"/>
              <w:right w:val="double" w:sz="12" w:space="0" w:color="000000"/>
            </w:tcBorders>
            <w:hideMark/>
          </w:tcPr>
          <w:p w:rsidR="00384F42" w:rsidRPr="00384F42" w:rsidRDefault="00384F42" w:rsidP="00384F42">
            <w:r w:rsidRPr="00384F42">
              <w:t xml:space="preserve">Podpis: </w:t>
            </w:r>
          </w:p>
        </w:tc>
        <w:tc>
          <w:tcPr>
            <w:tcW w:w="4874" w:type="dxa"/>
            <w:gridSpan w:val="2"/>
            <w:tcBorders>
              <w:top w:val="single" w:sz="6" w:space="0" w:color="000000"/>
              <w:left w:val="double" w:sz="12" w:space="0" w:color="000000"/>
              <w:bottom w:val="single" w:sz="6" w:space="0" w:color="000000"/>
              <w:right w:val="double" w:sz="12" w:space="0" w:color="000000"/>
            </w:tcBorders>
          </w:tcPr>
          <w:p w:rsidR="00384F42" w:rsidRPr="00384F42" w:rsidRDefault="00384F42" w:rsidP="00384F42"/>
        </w:tc>
      </w:tr>
      <w:tr w:rsidR="00384F42" w:rsidRPr="00384F42" w:rsidTr="00384F42">
        <w:trPr>
          <w:trHeight w:val="620"/>
        </w:trPr>
        <w:tc>
          <w:tcPr>
            <w:tcW w:w="9344" w:type="dxa"/>
            <w:gridSpan w:val="5"/>
            <w:tcBorders>
              <w:top w:val="single" w:sz="6" w:space="0" w:color="000000"/>
              <w:left w:val="double" w:sz="12" w:space="0" w:color="000000"/>
              <w:bottom w:val="double" w:sz="12" w:space="0" w:color="000000"/>
              <w:right w:val="double" w:sz="12" w:space="0" w:color="000000"/>
            </w:tcBorders>
            <w:hideMark/>
          </w:tcPr>
          <w:p w:rsidR="00384F42" w:rsidRPr="00384F42" w:rsidRDefault="00384F42" w:rsidP="00384F42">
            <w:pPr>
              <w:rPr>
                <w:b/>
              </w:rPr>
            </w:pPr>
            <w:r w:rsidRPr="00384F42">
              <w:rPr>
                <w:b/>
              </w:rPr>
              <w:t>Dátum schválenia: 29.01.2024 (prerokované aj v pedagogickej rade)</w:t>
            </w:r>
          </w:p>
          <w:p w:rsidR="00384F42" w:rsidRPr="00384F42" w:rsidRDefault="00384F42" w:rsidP="00384F42">
            <w:r w:rsidRPr="00384F42">
              <w:rPr>
                <w:b/>
              </w:rPr>
              <w:t>Dátum účinnosti:   1.február 2024</w:t>
            </w:r>
          </w:p>
        </w:tc>
      </w:tr>
    </w:tbl>
    <w:p w:rsidR="00384F42" w:rsidRPr="00384F42" w:rsidRDefault="00384F42" w:rsidP="00384F42">
      <w:pPr>
        <w:rPr>
          <w:b/>
        </w:rPr>
      </w:pPr>
      <w:r w:rsidRPr="00384F42">
        <w:rPr>
          <w:b/>
        </w:rPr>
        <w:br w:type="page"/>
      </w:r>
      <w:r w:rsidRPr="00384F42">
        <w:rPr>
          <w:b/>
        </w:rPr>
        <w:lastRenderedPageBreak/>
        <w:t xml:space="preserve">Smernica č. 3/2023 </w:t>
      </w:r>
    </w:p>
    <w:p w:rsidR="00384F42" w:rsidRPr="00384F42" w:rsidRDefault="00384F42" w:rsidP="00384F42">
      <w:r w:rsidRPr="00384F42">
        <w:rPr>
          <w:b/>
        </w:rPr>
        <w:t xml:space="preserve">  o protispoločenskej činnosti </w:t>
      </w:r>
    </w:p>
    <w:p w:rsidR="00384F42" w:rsidRPr="00384F42" w:rsidRDefault="00384F42" w:rsidP="00384F42"/>
    <w:p w:rsidR="00384F42" w:rsidRPr="00384F42" w:rsidRDefault="00384F42" w:rsidP="00384F42">
      <w:r w:rsidRPr="00384F42">
        <w:t xml:space="preserve">Riaditeľ Odborného učilišťa internátneho vo Valaskej v súlade so smernicou Ministerstva školstva, vedy, výskumu a športu Slovenskej republiky č. 40/2022 o protispoločenskej činnosti a  v súlade s § 10 ods. 8 zákona č. 54/2019 Z. z. o ochrane oznamovateľov protispoločenskej činnosti (ďalej len „zákon o ochrane oznamovateľov“)a o zmene a doplnení </w:t>
      </w:r>
      <w:r w:rsidRPr="00384F42">
        <w:rPr>
          <w:bCs/>
        </w:rPr>
        <w:t>zákonom č. 189/2023 Z. z</w:t>
      </w:r>
      <w:r w:rsidRPr="00384F42">
        <w:rPr>
          <w:b/>
          <w:bCs/>
        </w:rPr>
        <w:t xml:space="preserve">. </w:t>
      </w:r>
      <w:r w:rsidRPr="00384F42">
        <w:rPr>
          <w:bCs/>
        </w:rPr>
        <w:t>a</w:t>
      </w:r>
      <w:r w:rsidRPr="00384F42">
        <w:t xml:space="preserve"> v znení neskorších predpisov  vydáva túto smernicu:</w:t>
      </w:r>
    </w:p>
    <w:p w:rsidR="00384F42" w:rsidRPr="00384F42" w:rsidRDefault="00384F42" w:rsidP="00384F42"/>
    <w:p w:rsidR="00384F42" w:rsidRPr="00384F42" w:rsidRDefault="00384F42" w:rsidP="00384F42"/>
    <w:p w:rsidR="00384F42" w:rsidRPr="00384F42" w:rsidRDefault="00384F42" w:rsidP="00384F42">
      <w:pPr>
        <w:rPr>
          <w:b/>
        </w:rPr>
      </w:pPr>
      <w:bookmarkStart w:id="0" w:name="_Toc145071414"/>
      <w:r w:rsidRPr="00384F42">
        <w:rPr>
          <w:b/>
        </w:rPr>
        <w:t>Čl. 1</w:t>
      </w:r>
      <w:bookmarkEnd w:id="0"/>
    </w:p>
    <w:p w:rsidR="00384F42" w:rsidRPr="00384F42" w:rsidRDefault="00384F42" w:rsidP="00384F42">
      <w:pPr>
        <w:rPr>
          <w:b/>
        </w:rPr>
      </w:pPr>
      <w:bookmarkStart w:id="1" w:name="_Toc145071415"/>
      <w:r w:rsidRPr="00384F42">
        <w:rPr>
          <w:b/>
        </w:rPr>
        <w:t>Úvodné ustanovenia</w:t>
      </w:r>
      <w:bookmarkEnd w:id="1"/>
    </w:p>
    <w:p w:rsidR="00384F42" w:rsidRPr="00384F42" w:rsidRDefault="00384F42" w:rsidP="00384F42">
      <w:pPr>
        <w:numPr>
          <w:ilvl w:val="0"/>
          <w:numId w:val="1"/>
        </w:numPr>
      </w:pPr>
      <w:r w:rsidRPr="00384F42">
        <w:t>Táto smernica upravuje postup Odborného učilišťa internátneho vo Valaskej ( ďalej len „OUI“)  pri podávaní, prijímaní a preverovaní oznámení o protispoločenskej činnosti (ďalej len „oznámenia“), podrobnosti o právach a povinnostiach zodpovednej osoby pri preverovaní oznámení, ochrane oznamovateľov, zachovávaní mlčanlivosti pri vybavovaní oznámení, vedení evidencie oznámení a spracúvaní osobných údajov.</w:t>
      </w:r>
    </w:p>
    <w:p w:rsidR="00384F42" w:rsidRPr="00384F42" w:rsidRDefault="00384F42" w:rsidP="00384F42">
      <w:pPr>
        <w:numPr>
          <w:ilvl w:val="0"/>
          <w:numId w:val="1"/>
        </w:numPr>
      </w:pPr>
      <w:r w:rsidRPr="00384F42">
        <w:t xml:space="preserve">Účelom tejto smernice je zabezpečiť podmienky poskytovania ochrany osobám </w:t>
      </w:r>
      <w:r w:rsidRPr="00384F42">
        <w:br/>
        <w:t xml:space="preserve">v pracovnoprávnom vzťahu v súvislosti s oznamovaním kriminality, korupcie alebo inej protispoločenskej činnosti a upraviť práva a povinnosti osôb pri oznamovaní protispoločenskej činnosti. </w:t>
      </w:r>
    </w:p>
    <w:p w:rsidR="00384F42" w:rsidRPr="00384F42" w:rsidRDefault="00384F42" w:rsidP="00384F42">
      <w:pPr>
        <w:numPr>
          <w:ilvl w:val="0"/>
          <w:numId w:val="1"/>
        </w:numPr>
      </w:pPr>
      <w:r w:rsidRPr="00384F42">
        <w:t>Každý zamestnanec OUI  koná tak, aby pri plnení služobných úloh alebo pracovných úloh jeho konanie neobsahovalo znaky protispoločenskej činnosti, vrátane korupčného správania, a aby sa jeho konanie tak ani nejavilo.</w:t>
      </w:r>
    </w:p>
    <w:p w:rsidR="00384F42" w:rsidRPr="00384F42" w:rsidRDefault="00384F42" w:rsidP="00384F42">
      <w:pPr>
        <w:numPr>
          <w:ilvl w:val="0"/>
          <w:numId w:val="1"/>
        </w:numPr>
      </w:pPr>
      <w:r w:rsidRPr="00384F42">
        <w:rPr>
          <w:bCs/>
        </w:rPr>
        <w:t xml:space="preserve">Úlohy zodpovednej osoby plní zamestnanec školy </w:t>
      </w:r>
      <w:proofErr w:type="spellStart"/>
      <w:r w:rsidRPr="00384F42">
        <w:rPr>
          <w:bCs/>
        </w:rPr>
        <w:t>Mgr</w:t>
      </w:r>
      <w:proofErr w:type="spellEnd"/>
      <w:r w:rsidRPr="00384F42">
        <w:rPr>
          <w:bCs/>
        </w:rPr>
        <w:t xml:space="preserve"> Milena Fábryová</w:t>
      </w:r>
    </w:p>
    <w:p w:rsidR="00384F42" w:rsidRPr="00384F42" w:rsidRDefault="00384F42" w:rsidP="00384F42">
      <w:pPr>
        <w:rPr>
          <w:b/>
        </w:rPr>
      </w:pPr>
      <w:bookmarkStart w:id="2" w:name="_Toc145071416"/>
      <w:bookmarkStart w:id="3" w:name="_Hlk101360200"/>
      <w:r w:rsidRPr="00384F42">
        <w:rPr>
          <w:b/>
        </w:rPr>
        <w:t>Čl. 2</w:t>
      </w:r>
      <w:r w:rsidRPr="00384F42">
        <w:rPr>
          <w:b/>
        </w:rPr>
        <w:br/>
        <w:t>Základné pojmy</w:t>
      </w:r>
      <w:bookmarkEnd w:id="2"/>
      <w:bookmarkEnd w:id="3"/>
    </w:p>
    <w:p w:rsidR="00384F42" w:rsidRPr="00384F42" w:rsidRDefault="00384F42" w:rsidP="00384F42">
      <w:r w:rsidRPr="00384F42">
        <w:t>Na účely tejto smernice sa rozumie</w:t>
      </w:r>
    </w:p>
    <w:p w:rsidR="00384F42" w:rsidRPr="00384F42" w:rsidRDefault="00384F42" w:rsidP="00384F42">
      <w:pPr>
        <w:numPr>
          <w:ilvl w:val="0"/>
          <w:numId w:val="2"/>
        </w:numPr>
      </w:pPr>
      <w:bookmarkStart w:id="4" w:name="_Hlk144973371"/>
      <w:r w:rsidRPr="00384F42">
        <w:rPr>
          <w:b/>
          <w:bCs/>
        </w:rPr>
        <w:t>pracovnoprávnym vzťahom</w:t>
      </w:r>
      <w:r w:rsidRPr="00384F42">
        <w:rPr>
          <w:b/>
        </w:rPr>
        <w:t xml:space="preserve"> </w:t>
      </w:r>
      <w:r w:rsidRPr="00384F42">
        <w:t xml:space="preserve">pracovný pomer alebo dohody o prácach vykonávaných mimo pracovného pomeru, </w:t>
      </w:r>
    </w:p>
    <w:p w:rsidR="00384F42" w:rsidRPr="00384F42" w:rsidRDefault="00384F42" w:rsidP="00384F42">
      <w:pPr>
        <w:numPr>
          <w:ilvl w:val="0"/>
          <w:numId w:val="2"/>
        </w:numPr>
      </w:pPr>
      <w:r w:rsidRPr="00384F42">
        <w:rPr>
          <w:b/>
        </w:rPr>
        <w:t>iným obdobným vzťahom</w:t>
      </w:r>
      <w:r w:rsidRPr="00384F42">
        <w:t xml:space="preserve"> najmä výkon práv súvisiacich s účasťou, správou alebo riadením v právnickej osobe, činnosť osoby vykonávajúcej funkciu člena orgánu právnickej osoby, činnosť samostatne zárobkovo činnej osoby, výkon práv a povinností vyplývajúcich zo zmluvy, ktorej predmetom je dodanie tovaru, uskutočnenie stavebných prác alebo poskytnutie služby, odborná prax, absolventská prax, aktivačná činnosť, dobrovoľnícka činnosť,</w:t>
      </w:r>
    </w:p>
    <w:p w:rsidR="00384F42" w:rsidRPr="00384F42" w:rsidRDefault="00384F42" w:rsidP="00384F42">
      <w:pPr>
        <w:numPr>
          <w:ilvl w:val="0"/>
          <w:numId w:val="2"/>
        </w:numPr>
      </w:pPr>
      <w:r w:rsidRPr="00384F42">
        <w:rPr>
          <w:b/>
          <w:bCs/>
        </w:rPr>
        <w:t>oznamovateľom</w:t>
      </w:r>
      <w:r w:rsidRPr="00384F42">
        <w:t xml:space="preserve"> fyzická osoba, ktorá v dobrej viere urobí oznámenie orgánu príslušnému na prijatie oznámenia alebo zamestnávateľovi; za oznamovateľa sa považuje aj fyzická osoba, ktorá v dobrej viere </w:t>
      </w:r>
    </w:p>
    <w:p w:rsidR="00384F42" w:rsidRPr="00384F42" w:rsidRDefault="00384F42" w:rsidP="00384F42">
      <w:r w:rsidRPr="00384F42">
        <w:lastRenderedPageBreak/>
        <w:t>1. urobí oznámenie a jej pracovnoprávny vzťah alebo iný obdobný vzťah sa skončil, ak sa dozvedela informácie o protispoločenskej činnosti počas trvania tohto pracovnoprávneho vzťahu alebo iného obdobného vzťahu,</w:t>
      </w:r>
    </w:p>
    <w:p w:rsidR="00384F42" w:rsidRPr="00384F42" w:rsidRDefault="00384F42" w:rsidP="00384F42">
      <w:r w:rsidRPr="00384F42">
        <w:t>2. urobí oznámenie a jej pracovnoprávny vzťah alebo iný obdobný vzťah ešte nevznikol, ak sa dozvedela informácie o protispoločenskej činnosti počas výberového konania alebo v rámci predzmluvných vzťahov,</w:t>
      </w:r>
    </w:p>
    <w:p w:rsidR="00384F42" w:rsidRPr="00384F42" w:rsidRDefault="00384F42" w:rsidP="00384F42">
      <w:r w:rsidRPr="00384F42">
        <w:t>3. urobila oznámenie anonymne a jej totožnosť bola odhalená,</w:t>
      </w:r>
    </w:p>
    <w:p w:rsidR="00384F42" w:rsidRPr="00384F42" w:rsidRDefault="00384F42" w:rsidP="00384F42"/>
    <w:p w:rsidR="00384F42" w:rsidRPr="00384F42" w:rsidRDefault="00384F42" w:rsidP="00384F42">
      <w:r w:rsidRPr="00384F42">
        <w:t>4. zverejnila informácie o protispoločenskej činnosti, ktoré sa dozvedela počas výberového konania alebo v rámci predzmluvných vzťahov a jej pracovnoprávny vzťah alebo iný obdobný vzťah ešte nevznikol alebo počas trvania pracovnoprávneho vzťahu alebo iného obdobného vzťahu alebo po skončení pracovnoprávneho alebo iného obdobného vzťahu z dôvodu, že</w:t>
      </w:r>
    </w:p>
    <w:p w:rsidR="00384F42" w:rsidRPr="00384F42" w:rsidRDefault="00384F42" w:rsidP="00384F42">
      <w:r w:rsidRPr="00384F42">
        <w:t>4a. urobila oznámenie prostredníctvom vnútorného systému preverovania oznámení a nebola oboznámená s výsledkom preverenia podľa § 10 ods. 8, alebo neboli prijaté vhodné opatrenia podľa § 10 ods. 8 a následne urobila takéto oznámenie orgánu príslušnému na prijatie oznámenia a nebola v primeranej lehote oboznámená so stavom preverovania alebo s výsledkom preverenia,</w:t>
      </w:r>
    </w:p>
    <w:p w:rsidR="00384F42" w:rsidRPr="00384F42" w:rsidRDefault="00384F42" w:rsidP="00384F42"/>
    <w:p w:rsidR="00384F42" w:rsidRPr="00384F42" w:rsidRDefault="00384F42" w:rsidP="00384F42">
      <w:r w:rsidRPr="00384F42">
        <w:t>4b. urobila oznámenie orgánu príslušnému na prijatie oznámenia a nebola v primeranej lehote oboznámená so stavom preverovania alebo s výsledkom preverenia,</w:t>
      </w:r>
    </w:p>
    <w:p w:rsidR="00384F42" w:rsidRPr="00384F42" w:rsidRDefault="00384F42" w:rsidP="00384F42"/>
    <w:p w:rsidR="00384F42" w:rsidRPr="00384F42" w:rsidRDefault="00384F42" w:rsidP="00384F42">
      <w:r w:rsidRPr="00384F42">
        <w:t>4c. je dôvodná obava, že protispoločenská činnosť môže predstavovať bezprostredné alebo zjavné ohrozenie verejného záujmu, alebo</w:t>
      </w:r>
    </w:p>
    <w:p w:rsidR="00384F42" w:rsidRPr="00384F42" w:rsidRDefault="00384F42" w:rsidP="00384F42"/>
    <w:p w:rsidR="00384F42" w:rsidRPr="00384F42" w:rsidRDefault="00384F42" w:rsidP="00384F42">
      <w:r w:rsidRPr="00384F42">
        <w:t>4d. je dôvodná obava, že v prípade urobenia oznámenia orgánu príslušnému na prijatie oznámenia by jej hrozil postih alebo vzhľadom na konkrétne okolnosti prípadu hrozí, že orgány na prijatie oznámenia nezabezpečia nestranné a nezávislé preverenie skutočností uvedených v oznámení,</w:t>
      </w:r>
    </w:p>
    <w:p w:rsidR="00384F42" w:rsidRPr="00384F42" w:rsidRDefault="00384F42" w:rsidP="00384F42"/>
    <w:p w:rsidR="00384F42" w:rsidRPr="00384F42" w:rsidRDefault="00384F42" w:rsidP="00384F42">
      <w:pPr>
        <w:numPr>
          <w:ilvl w:val="0"/>
          <w:numId w:val="2"/>
        </w:numPr>
      </w:pPr>
      <w:r w:rsidRPr="00384F42">
        <w:rPr>
          <w:b/>
          <w:bCs/>
        </w:rPr>
        <w:t>chráneným oznamovateľom</w:t>
      </w:r>
      <w:r w:rsidRPr="00384F42">
        <w:t xml:space="preserve"> osoba, ktorá podľa zákona o ochrane oznamovateľov urobila kvalifikované oznámenie, o čom jej prokurátor alebo orgán príslušný na konanie o správnom delikte doručil písomné oznámenie o poskytnutí ochrany,</w:t>
      </w:r>
    </w:p>
    <w:p w:rsidR="00384F42" w:rsidRPr="00384F42" w:rsidRDefault="00384F42" w:rsidP="00384F42">
      <w:pPr>
        <w:numPr>
          <w:ilvl w:val="0"/>
          <w:numId w:val="2"/>
        </w:numPr>
      </w:pPr>
      <w:r w:rsidRPr="00384F42">
        <w:rPr>
          <w:b/>
          <w:bCs/>
        </w:rPr>
        <w:t>dotknutou osobou</w:t>
      </w:r>
      <w:r w:rsidRPr="00384F42">
        <w:rPr>
          <w:bCs/>
        </w:rPr>
        <w:t xml:space="preserve"> fyzická osoba alebo právnická osoba, proti ktorej oznámenie smeruje</w:t>
      </w:r>
    </w:p>
    <w:p w:rsidR="00384F42" w:rsidRPr="00384F42" w:rsidRDefault="00384F42" w:rsidP="00384F42">
      <w:pPr>
        <w:numPr>
          <w:ilvl w:val="0"/>
          <w:numId w:val="2"/>
        </w:numPr>
      </w:pPr>
      <w:r w:rsidRPr="00384F42">
        <w:rPr>
          <w:b/>
          <w:bCs/>
        </w:rPr>
        <w:t xml:space="preserve">oznámením </w:t>
      </w:r>
      <w:r w:rsidRPr="00384F42">
        <w:t xml:space="preserve">uvedenie skutočností, o ktorých sa fyzická osoba dozvedela </w:t>
      </w:r>
      <w:r w:rsidRPr="00384F42">
        <w:br/>
        <w:t>v súvislosti s pracovnoprávnym vzťahom alebo iným obdobným vzťahom a ktoré sa týkajú protispoločenskej činnosti,</w:t>
      </w:r>
    </w:p>
    <w:p w:rsidR="00384F42" w:rsidRPr="00384F42" w:rsidRDefault="00384F42" w:rsidP="00384F42">
      <w:pPr>
        <w:numPr>
          <w:ilvl w:val="0"/>
          <w:numId w:val="2"/>
        </w:numPr>
        <w:rPr>
          <w:b/>
          <w:bCs/>
        </w:rPr>
      </w:pPr>
      <w:r w:rsidRPr="00384F42">
        <w:rPr>
          <w:b/>
          <w:bCs/>
        </w:rPr>
        <w:t xml:space="preserve">kvalifikovaným oznámením </w:t>
      </w:r>
      <w:r w:rsidRPr="00384F42">
        <w:t>oznámenie, ktoré môže prispieť alebo prispelo k objasneniu závažnej protispoločenskej činnosti alebo k zisteniu či usvedčeniu jej páchateľa,</w:t>
      </w:r>
    </w:p>
    <w:p w:rsidR="00384F42" w:rsidRPr="00384F42" w:rsidRDefault="00384F42" w:rsidP="00384F42">
      <w:pPr>
        <w:numPr>
          <w:ilvl w:val="0"/>
          <w:numId w:val="2"/>
        </w:numPr>
        <w:rPr>
          <w:b/>
          <w:bCs/>
        </w:rPr>
      </w:pPr>
      <w:r w:rsidRPr="00384F42">
        <w:rPr>
          <w:b/>
          <w:bCs/>
        </w:rPr>
        <w:t>závažnou protispoločenskou činnosťou</w:t>
      </w:r>
    </w:p>
    <w:p w:rsidR="00384F42" w:rsidRPr="00384F42" w:rsidRDefault="00384F42" w:rsidP="00384F42">
      <w:pPr>
        <w:numPr>
          <w:ilvl w:val="0"/>
          <w:numId w:val="3"/>
        </w:numPr>
      </w:pPr>
      <w:r w:rsidRPr="00384F42">
        <w:lastRenderedPageBreak/>
        <w:t xml:space="preserve">trestné činy podľa §168, § 170, § 170b, § 177, § 212, § 213, § 217, § 221, § 226,  § 233a, § 237 až  § 240,  § 243, § 243a, § 247, § 247d, § 251a, § 252 až § 254, § 261 až 263, § 266 až 268, § 271, § 278a, § 283, § 299a, § 302, § 305, § 326 až 327a, § 328 až 336b, § 336d, § 348, § 352a alebo  § 374 Trestného zákona, </w:t>
      </w:r>
    </w:p>
    <w:p w:rsidR="00384F42" w:rsidRPr="00384F42" w:rsidRDefault="00384F42" w:rsidP="00384F42">
      <w:pPr>
        <w:numPr>
          <w:ilvl w:val="0"/>
          <w:numId w:val="3"/>
        </w:numPr>
      </w:pPr>
      <w:r w:rsidRPr="00384F42">
        <w:t>trestný čin, za ktorý Trestný zákon ustanovuje trest odňatia slobody s hornou hranicou trestnej sadzby prevyšujúcou dva roky,</w:t>
      </w:r>
    </w:p>
    <w:p w:rsidR="00384F42" w:rsidRPr="00384F42" w:rsidRDefault="00384F42" w:rsidP="00384F42">
      <w:pPr>
        <w:numPr>
          <w:ilvl w:val="0"/>
          <w:numId w:val="3"/>
        </w:numPr>
      </w:pPr>
      <w:r w:rsidRPr="00384F42">
        <w:t>správny delikt, za ktorý možno uložiť pokutu s hornou hranicou určenou výpočtom,</w:t>
      </w:r>
    </w:p>
    <w:p w:rsidR="00384F42" w:rsidRPr="00384F42" w:rsidRDefault="00384F42" w:rsidP="00384F42">
      <w:pPr>
        <w:numPr>
          <w:ilvl w:val="0"/>
          <w:numId w:val="3"/>
        </w:numPr>
      </w:pPr>
      <w:r w:rsidRPr="00384F42">
        <w:t xml:space="preserve">správny delikt, za ktorý možno uložiť pokutu s hornou hranicou vo výške najmenej 30 000 eur, </w:t>
      </w:r>
    </w:p>
    <w:p w:rsidR="00384F42" w:rsidRPr="00384F42" w:rsidRDefault="00384F42" w:rsidP="00384F42">
      <w:pPr>
        <w:numPr>
          <w:ilvl w:val="0"/>
          <w:numId w:val="2"/>
        </w:numPr>
      </w:pPr>
      <w:r w:rsidRPr="00384F42">
        <w:rPr>
          <w:b/>
          <w:bCs/>
        </w:rPr>
        <w:t>odvetným opatrením</w:t>
      </w:r>
      <w:r w:rsidRPr="00384F42">
        <w:t xml:space="preserve"> konanie alebo opomenutie konania v súvislosti s pracovnoprávnym alebo iným obdobným vzťahom oznamovateľa vyvolané oznámením alebo zverejnením informácií o protispoločenskej činnosti a ktoré oznamovateľovi alebo osobe podľa § 1 ods. 4 písm. a) až e) spôsobilo alebo môže spôsobiť opodstatnenú ujmu.  Odvetným opatrením je najmä:</w:t>
      </w:r>
    </w:p>
    <w:p w:rsidR="00384F42" w:rsidRPr="00384F42" w:rsidRDefault="00384F42" w:rsidP="00384F42">
      <w:pPr>
        <w:numPr>
          <w:ilvl w:val="0"/>
          <w:numId w:val="4"/>
        </w:numPr>
      </w:pPr>
      <w:r w:rsidRPr="00384F42">
        <w:t>výpoveď alebo okamžité skončenie pracovného pomeru,</w:t>
      </w:r>
    </w:p>
    <w:p w:rsidR="00384F42" w:rsidRPr="00384F42" w:rsidRDefault="00384F42" w:rsidP="00384F42">
      <w:pPr>
        <w:numPr>
          <w:ilvl w:val="0"/>
          <w:numId w:val="4"/>
        </w:numPr>
      </w:pPr>
      <w:r w:rsidRPr="00384F42">
        <w:t>skončenie v skúšobnej dobe alebo nepredĺženie pracovného pomeru na dobu neurčitú,</w:t>
      </w:r>
    </w:p>
    <w:p w:rsidR="00384F42" w:rsidRPr="00384F42" w:rsidRDefault="00384F42" w:rsidP="00384F42">
      <w:pPr>
        <w:numPr>
          <w:ilvl w:val="0"/>
          <w:numId w:val="4"/>
        </w:numPr>
      </w:pPr>
      <w:r w:rsidRPr="00384F42">
        <w:t>odvolanie, preradenie na nižšiu pozíciu alebo odmietnutie povýšenia,</w:t>
      </w:r>
    </w:p>
    <w:p w:rsidR="00384F42" w:rsidRPr="00384F42" w:rsidRDefault="00384F42" w:rsidP="00384F42">
      <w:pPr>
        <w:numPr>
          <w:ilvl w:val="0"/>
          <w:numId w:val="4"/>
        </w:numPr>
      </w:pPr>
      <w:r w:rsidRPr="00384F42">
        <w:t>zmena pracovných povinností, miesta výkonu práce alebo zmena pracovného času,</w:t>
      </w:r>
    </w:p>
    <w:p w:rsidR="00384F42" w:rsidRPr="00384F42" w:rsidRDefault="00384F42" w:rsidP="00384F42">
      <w:pPr>
        <w:numPr>
          <w:ilvl w:val="0"/>
          <w:numId w:val="4"/>
        </w:numPr>
      </w:pPr>
      <w:r w:rsidRPr="00384F42">
        <w:t>zníženie mzdy, nepriznanie odmeny alebo osobného príplatku,</w:t>
      </w:r>
    </w:p>
    <w:p w:rsidR="00384F42" w:rsidRPr="00384F42" w:rsidRDefault="00384F42" w:rsidP="00384F42">
      <w:pPr>
        <w:numPr>
          <w:ilvl w:val="0"/>
          <w:numId w:val="4"/>
        </w:numPr>
      </w:pPr>
      <w:r w:rsidRPr="00384F42">
        <w:t>neposkytnutie odbornej prípravy,</w:t>
      </w:r>
    </w:p>
    <w:p w:rsidR="00384F42" w:rsidRPr="00384F42" w:rsidRDefault="00384F42" w:rsidP="00384F42">
      <w:pPr>
        <w:numPr>
          <w:ilvl w:val="0"/>
          <w:numId w:val="4"/>
        </w:numPr>
      </w:pPr>
      <w:r w:rsidRPr="00384F42">
        <w:t>disciplinárne opatrenie,</w:t>
      </w:r>
    </w:p>
    <w:p w:rsidR="00384F42" w:rsidRPr="00384F42" w:rsidRDefault="00384F42" w:rsidP="00384F42">
      <w:pPr>
        <w:numPr>
          <w:ilvl w:val="0"/>
          <w:numId w:val="4"/>
        </w:numPr>
      </w:pPr>
      <w:r w:rsidRPr="00384F42">
        <w:t>nátlak, zastrašovanie alebo obťažovanie,</w:t>
      </w:r>
    </w:p>
    <w:p w:rsidR="00384F42" w:rsidRPr="00384F42" w:rsidRDefault="00384F42" w:rsidP="00384F42">
      <w:pPr>
        <w:numPr>
          <w:ilvl w:val="0"/>
          <w:numId w:val="4"/>
        </w:numPr>
      </w:pPr>
      <w:r w:rsidRPr="00384F42">
        <w:t>poškodzovanie dobrej povesti,</w:t>
      </w:r>
    </w:p>
    <w:p w:rsidR="00384F42" w:rsidRPr="00384F42" w:rsidRDefault="00384F42" w:rsidP="00384F42">
      <w:pPr>
        <w:numPr>
          <w:ilvl w:val="0"/>
          <w:numId w:val="4"/>
        </w:numPr>
      </w:pPr>
      <w:r w:rsidRPr="00384F42">
        <w:t>odstúpenie od zmluvy o dodávke tovarov a služieb,</w:t>
      </w:r>
    </w:p>
    <w:p w:rsidR="00384F42" w:rsidRPr="00384F42" w:rsidRDefault="00384F42" w:rsidP="00384F42">
      <w:pPr>
        <w:numPr>
          <w:ilvl w:val="0"/>
          <w:numId w:val="4"/>
        </w:numPr>
      </w:pPr>
      <w:r w:rsidRPr="00384F42">
        <w:t>zrušenie licencie alebo povolenia.</w:t>
      </w:r>
    </w:p>
    <w:p w:rsidR="00384F42" w:rsidRPr="00384F42" w:rsidRDefault="00384F42" w:rsidP="00384F42"/>
    <w:p w:rsidR="00384F42" w:rsidRPr="00384F42" w:rsidRDefault="00384F42" w:rsidP="00384F42">
      <w:bookmarkStart w:id="5" w:name="_Toc145071417"/>
      <w:bookmarkEnd w:id="4"/>
      <w:r w:rsidRPr="00384F42">
        <w:rPr>
          <w:b/>
        </w:rPr>
        <w:t>Čl. 3</w:t>
      </w:r>
      <w:r w:rsidRPr="00384F42">
        <w:rPr>
          <w:b/>
        </w:rPr>
        <w:br/>
        <w:t>Podávanie oznámení</w:t>
      </w:r>
      <w:bookmarkEnd w:id="5"/>
    </w:p>
    <w:p w:rsidR="00384F42" w:rsidRPr="00384F42" w:rsidRDefault="00384F42" w:rsidP="00384F42">
      <w:pPr>
        <w:numPr>
          <w:ilvl w:val="0"/>
          <w:numId w:val="5"/>
        </w:numPr>
      </w:pPr>
      <w:r w:rsidRPr="00384F42">
        <w:t>Oznámenie možno urobiť ústne zodpovednej osobe alebo písomne prostredníctvom</w:t>
      </w:r>
    </w:p>
    <w:p w:rsidR="00384F42" w:rsidRPr="00384F42" w:rsidRDefault="00384F42" w:rsidP="00384F42">
      <w:pPr>
        <w:numPr>
          <w:ilvl w:val="0"/>
          <w:numId w:val="6"/>
        </w:numPr>
      </w:pPr>
      <w:r w:rsidRPr="00384F42">
        <w:t>e-mailovej adresy mima.fabry@gmail.com, ktorá je dostupná 24 hodín denne a prístupná len zodpovednej osobe,</w:t>
      </w:r>
    </w:p>
    <w:p w:rsidR="00384F42" w:rsidRPr="00384F42" w:rsidRDefault="00384F42" w:rsidP="00384F42">
      <w:pPr>
        <w:numPr>
          <w:ilvl w:val="0"/>
          <w:numId w:val="6"/>
        </w:numPr>
      </w:pPr>
      <w:r w:rsidRPr="00384F42">
        <w:t>pošty na adresu OUI, Švermova 1, 976 46 Valaská v obálke označenej slovom „CHRÁNENÉ“ a menom zodpovednej osoby.</w:t>
      </w:r>
    </w:p>
    <w:p w:rsidR="00384F42" w:rsidRPr="00384F42" w:rsidRDefault="00384F42" w:rsidP="00384F42">
      <w:bookmarkStart w:id="6" w:name="_Hlk144974106"/>
      <w:r w:rsidRPr="00384F42">
        <w:t>(2)  Pri ústnom oznámení môže oznamovateľ požiadať zodpovednú osobu o osobné    stretnutie. Zodpovedná osoba je povinná uskutočniť stretnutie bezodkladne, najneskôr však do 7 kalendárnych dní odo dňa požiadania Pri ústnom podaní oznámenia vyhotoví zodpovedná osoba zápisnicu podľa vzoru uvedeného v prílohe č. 1. Oznamovateľ je oprávnený skontrolovať jej obsah, opraviť ju a potvrdiť ju svojím podpisom.</w:t>
      </w:r>
    </w:p>
    <w:bookmarkEnd w:id="6"/>
    <w:p w:rsidR="00384F42" w:rsidRPr="00384F42" w:rsidRDefault="00384F42" w:rsidP="00384F42">
      <w:r w:rsidRPr="00384F42">
        <w:lastRenderedPageBreak/>
        <w:t>(3) Oznámenie možno urobiť aj prostredníctvom</w:t>
      </w:r>
    </w:p>
    <w:p w:rsidR="00384F42" w:rsidRPr="00384F42" w:rsidRDefault="00384F42" w:rsidP="00384F42">
      <w:pPr>
        <w:numPr>
          <w:ilvl w:val="0"/>
          <w:numId w:val="7"/>
        </w:numPr>
      </w:pPr>
      <w:r w:rsidRPr="00384F42">
        <w:t xml:space="preserve">Úradu na ochranu oznamovateľov (ďalej len „úrad“), </w:t>
      </w:r>
    </w:p>
    <w:p w:rsidR="00384F42" w:rsidRPr="00384F42" w:rsidRDefault="00384F42" w:rsidP="00384F42">
      <w:pPr>
        <w:numPr>
          <w:ilvl w:val="0"/>
          <w:numId w:val="7"/>
        </w:numPr>
      </w:pPr>
      <w:r w:rsidRPr="00384F42">
        <w:t>prokuratúry,</w:t>
      </w:r>
    </w:p>
    <w:p w:rsidR="00384F42" w:rsidRPr="00384F42" w:rsidRDefault="00384F42" w:rsidP="00384F42">
      <w:pPr>
        <w:numPr>
          <w:ilvl w:val="0"/>
          <w:numId w:val="7"/>
        </w:numPr>
      </w:pPr>
      <w:r w:rsidRPr="00384F42">
        <w:t xml:space="preserve">správneho orgánu príslušného na konanie o správnom delikte, ktorý je závažnou protispoločenskou činnosťou, </w:t>
      </w:r>
    </w:p>
    <w:p w:rsidR="00384F42" w:rsidRPr="00384F42" w:rsidRDefault="00384F42" w:rsidP="00384F42">
      <w:pPr>
        <w:numPr>
          <w:ilvl w:val="0"/>
          <w:numId w:val="7"/>
        </w:numPr>
      </w:pPr>
      <w:r w:rsidRPr="00384F42">
        <w:t>alebo príslušnej inštitúcie, orgánu, úradu alebo agentúry Európskej Únie.</w:t>
      </w:r>
    </w:p>
    <w:p w:rsidR="00384F42" w:rsidRPr="00384F42" w:rsidRDefault="00384F42" w:rsidP="00384F42">
      <w:r w:rsidRPr="00384F42">
        <w:t>(4) Oznámenie obsahuje informáciu o </w:t>
      </w:r>
      <w:bookmarkStart w:id="7" w:name="_Hlk101859303"/>
      <w:r w:rsidRPr="00384F42">
        <w:t>protispoločenskej činnosti</w:t>
      </w:r>
      <w:bookmarkEnd w:id="7"/>
      <w:r w:rsidRPr="00384F42">
        <w:t>, ktorú sa oznamovateľ dozvedel pri výkone svojej práce a v dobrej viere sa domnieva, že táto protispoločenská činnosť ohrozuje verejný záujem, hospodárenie či dobré meno OUI.</w:t>
      </w:r>
    </w:p>
    <w:p w:rsidR="00384F42" w:rsidRPr="00384F42" w:rsidRDefault="00384F42" w:rsidP="00384F42">
      <w:pPr>
        <w:numPr>
          <w:ilvl w:val="0"/>
          <w:numId w:val="1"/>
        </w:numPr>
      </w:pPr>
      <w:r w:rsidRPr="00384F42">
        <w:t xml:space="preserve">Oznámenie musí byť čitateľné, zrozumiteľné a musí byť z neho zrejmé, na akú protispoločenskú činnosť poukazuje. </w:t>
      </w:r>
    </w:p>
    <w:p w:rsidR="00384F42" w:rsidRPr="00384F42" w:rsidRDefault="00384F42" w:rsidP="00384F42">
      <w:pPr>
        <w:numPr>
          <w:ilvl w:val="0"/>
          <w:numId w:val="1"/>
        </w:numPr>
      </w:pPr>
      <w:r w:rsidRPr="00384F42">
        <w:t>Oznámenie možno podať aj anonymne.</w:t>
      </w:r>
    </w:p>
    <w:p w:rsidR="00384F42" w:rsidRPr="00384F42" w:rsidRDefault="00384F42" w:rsidP="00384F42">
      <w:pPr>
        <w:numPr>
          <w:ilvl w:val="0"/>
          <w:numId w:val="1"/>
        </w:numPr>
      </w:pPr>
      <w:r w:rsidRPr="00384F42">
        <w:t>Ak je to možné, v oznámení sa uvádza najmä</w:t>
      </w:r>
    </w:p>
    <w:p w:rsidR="00384F42" w:rsidRPr="00384F42" w:rsidRDefault="00384F42" w:rsidP="00384F42">
      <w:pPr>
        <w:numPr>
          <w:ilvl w:val="0"/>
          <w:numId w:val="8"/>
        </w:numPr>
      </w:pPr>
      <w:r w:rsidRPr="00384F42">
        <w:t>popis protispoločenskej činnosti so všetkými známymi podstatnými skutočnosťami (najmä čo sa stalo, kde, kedy, aké správanie viedlo k podozreniu, kto je podozrivý),</w:t>
      </w:r>
    </w:p>
    <w:p w:rsidR="00384F42" w:rsidRPr="00384F42" w:rsidRDefault="00384F42" w:rsidP="00384F42">
      <w:pPr>
        <w:numPr>
          <w:ilvl w:val="0"/>
          <w:numId w:val="8"/>
        </w:numPr>
      </w:pPr>
      <w:r w:rsidRPr="00384F42">
        <w:t xml:space="preserve">informácia, ako oznamovateľ získal informácie, ktoré sú predmetom oznámenia, </w:t>
      </w:r>
    </w:p>
    <w:p w:rsidR="00384F42" w:rsidRPr="00384F42" w:rsidRDefault="00384F42" w:rsidP="00384F42">
      <w:pPr>
        <w:numPr>
          <w:ilvl w:val="0"/>
          <w:numId w:val="8"/>
        </w:numPr>
      </w:pPr>
      <w:r w:rsidRPr="00384F42">
        <w:t>informácia, či existujú svedkovia alebo iné zainteresované osoby, a ich identifikačné údaje,</w:t>
      </w:r>
    </w:p>
    <w:p w:rsidR="00384F42" w:rsidRPr="00384F42" w:rsidRDefault="00384F42" w:rsidP="00384F42">
      <w:pPr>
        <w:numPr>
          <w:ilvl w:val="0"/>
          <w:numId w:val="8"/>
        </w:numPr>
      </w:pPr>
      <w:r w:rsidRPr="00384F42">
        <w:t>doklady preukazujúce informácie, ktoré sú predmetom oznámenia,</w:t>
      </w:r>
    </w:p>
    <w:p w:rsidR="00384F42" w:rsidRPr="00384F42" w:rsidRDefault="00384F42" w:rsidP="00384F42">
      <w:pPr>
        <w:numPr>
          <w:ilvl w:val="0"/>
          <w:numId w:val="8"/>
        </w:numPr>
      </w:pPr>
      <w:r w:rsidRPr="00384F42">
        <w:t>informácia, či oznamovateľ vec už oznámil a ak áno, komu a ako,</w:t>
      </w:r>
    </w:p>
    <w:p w:rsidR="00384F42" w:rsidRPr="00384F42" w:rsidRDefault="00384F42" w:rsidP="00384F42">
      <w:pPr>
        <w:numPr>
          <w:ilvl w:val="0"/>
          <w:numId w:val="8"/>
        </w:numPr>
      </w:pPr>
      <w:r w:rsidRPr="00384F42">
        <w:t>identifikačné údaje a kontaktné údaje oznamovateľa, ak nejde o anonymné oznámenie.</w:t>
      </w:r>
    </w:p>
    <w:p w:rsidR="00384F42" w:rsidRPr="00384F42" w:rsidRDefault="00384F42" w:rsidP="00384F42">
      <w:pPr>
        <w:numPr>
          <w:ilvl w:val="0"/>
          <w:numId w:val="1"/>
        </w:numPr>
      </w:pPr>
      <w:r w:rsidRPr="00384F42">
        <w:t xml:space="preserve">Ak oznamovateľ podá podnet anonymne, môže uviesť anonymizovanú adresu elektronickej pošty, prostredníctvom ktorej bude komunikovať a zodpovedať na prípadné otázky. Zamestnávateľ je zároveň povinný potvrdiť prijatie oznámenia a informovať oznamovateľa o výsledku prešetrenia oznámenia prostredníctvom tejto e-mailovej adresy. </w:t>
      </w:r>
    </w:p>
    <w:p w:rsidR="00384F42" w:rsidRPr="00384F42" w:rsidRDefault="00384F42" w:rsidP="00384F42">
      <w:pPr>
        <w:numPr>
          <w:ilvl w:val="0"/>
          <w:numId w:val="1"/>
        </w:numPr>
      </w:pPr>
      <w:r w:rsidRPr="00384F42">
        <w:t xml:space="preserve">Podaním oznámenia podľa zákona o ochrane oznamovateľov nie je dotknutá povinnosť oznámenia trestného činu alebo prekazenia trestného činu podľa § 340 a 341 Trestného zákona. </w:t>
      </w:r>
    </w:p>
    <w:p w:rsidR="00384F42" w:rsidRPr="00384F42" w:rsidRDefault="00384F42" w:rsidP="00384F42">
      <w:pPr>
        <w:rPr>
          <w:b/>
        </w:rPr>
      </w:pPr>
      <w:bookmarkStart w:id="8" w:name="_Toc145071418"/>
      <w:r w:rsidRPr="00384F42">
        <w:rPr>
          <w:b/>
        </w:rPr>
        <w:t>Čl. 4</w:t>
      </w:r>
      <w:r w:rsidRPr="00384F42">
        <w:rPr>
          <w:b/>
        </w:rPr>
        <w:br/>
        <w:t>Prijímanie a evidencia oznámení</w:t>
      </w:r>
      <w:bookmarkEnd w:id="8"/>
    </w:p>
    <w:p w:rsidR="00384F42" w:rsidRPr="00384F42" w:rsidRDefault="00384F42" w:rsidP="00384F42">
      <w:pPr>
        <w:rPr>
          <w:b/>
          <w:bCs/>
        </w:rPr>
      </w:pPr>
    </w:p>
    <w:p w:rsidR="00384F42" w:rsidRPr="00384F42" w:rsidRDefault="00384F42" w:rsidP="00384F42">
      <w:pPr>
        <w:numPr>
          <w:ilvl w:val="0"/>
          <w:numId w:val="9"/>
        </w:numPr>
      </w:pPr>
      <w:r w:rsidRPr="00384F42">
        <w:t>Oznámenie sa podáva zodpovednej osobe. Ak je podané inému zamestnancovi, ten ho bezodkladne doručí zodpovednej osobe spôsobom uvedeným v čl. 3 ods. 1 a zároveň je povinný zachovávať mlčanlivosť o skutočnostiach, ktoré sa dozvedel v súvislosti s oznámením, najmä o skutočnostiach, ktoré by mohli identifikovať oznamovateľa alebo dotknuté osoby.</w:t>
      </w:r>
    </w:p>
    <w:p w:rsidR="00384F42" w:rsidRPr="00384F42" w:rsidRDefault="00384F42" w:rsidP="00384F42">
      <w:pPr>
        <w:numPr>
          <w:ilvl w:val="0"/>
          <w:numId w:val="9"/>
        </w:numPr>
      </w:pPr>
      <w:r w:rsidRPr="00384F42">
        <w:t xml:space="preserve">Zodpovedná osoba je povinná prijať každé oznámenie a zdržať sa akéhokoľvek konania, ktoré by bránilo jeho podaniu alebo prevereniu. </w:t>
      </w:r>
    </w:p>
    <w:p w:rsidR="00384F42" w:rsidRPr="00384F42" w:rsidRDefault="00384F42" w:rsidP="00384F42">
      <w:pPr>
        <w:numPr>
          <w:ilvl w:val="0"/>
          <w:numId w:val="9"/>
        </w:numPr>
      </w:pPr>
      <w:r w:rsidRPr="00384F42">
        <w:lastRenderedPageBreak/>
        <w:t xml:space="preserve">Nikomu nesmie byť bránené v oznamovaní protispoločenskej činnosti; bránením podaniu oznámenia sa rozumie napríklad odmietnutie prijatia oznámenia alebo akékoľvek konanie, ktorého cieľom je zmariť, sťažiť alebo spomaliť podanie oznámenia. Konanie osoby, ktorá bude brániť podaniu oznámenia sa vzhľadom na okolnosti konkrétneho prípadu môže považovať </w:t>
      </w:r>
      <w:bookmarkStart w:id="9" w:name="_Hlk144364703"/>
      <w:r w:rsidRPr="00384F42">
        <w:t>za závažné alebo za menej závažné porušenie služobnej disciplíny</w:t>
      </w:r>
      <w:bookmarkEnd w:id="9"/>
      <w:r w:rsidRPr="00384F42">
        <w:t xml:space="preserve"> alebo za závažné alebo za menej závažné porušenie pracovnej disciplíny V prípade, ak oznamovateľovi bolo bránené podať oznámenie, je potrebné, aby sa obrátil s touto informáciou priamo na zodpovednú osobu.</w:t>
      </w:r>
    </w:p>
    <w:p w:rsidR="00384F42" w:rsidRPr="00384F42" w:rsidRDefault="00384F42" w:rsidP="00384F42">
      <w:pPr>
        <w:numPr>
          <w:ilvl w:val="0"/>
          <w:numId w:val="9"/>
        </w:numPr>
      </w:pPr>
      <w:r w:rsidRPr="00384F42">
        <w:t xml:space="preserve">Zodpovedná osoba bezodkladne zaeviduje každé oznámenie v evidencii oznámení oddelene od evidencie ostatných písomností a do siedmich dní potvrdí oznamovateľovi prijatie oznámenia; to neplatí, ak oznamovateľ uvedie, že na potvrdení prijatia oznámenia netrvá. Zodpovedná osoba nepotvrdí prijatie oznámenia, ak sa dôvodne domnieva, že potvrdenie o prijatí oznámenia môže ohroziť totožnosť oznamovateľa. Ak bolo oznámenie urobené anonymne a doručené poštou, v evidencii sa uvedie nemožnosť doručenia potvrdenia. Ak bolo oznámenie urobené anonymne a doručené e-mailom, zodpovedná osoba potvrdí oznámenie na predmetnú e-mailovú adresu. </w:t>
      </w:r>
    </w:p>
    <w:p w:rsidR="00384F42" w:rsidRPr="00384F42" w:rsidRDefault="00384F42" w:rsidP="00384F42">
      <w:pPr>
        <w:numPr>
          <w:ilvl w:val="0"/>
          <w:numId w:val="9"/>
        </w:numPr>
      </w:pPr>
      <w:r w:rsidRPr="00384F42">
        <w:t xml:space="preserve">Evidencia oznámení sa vedie v písomnej podobe a je dostupná výlučne zodpovednej osobe a riaditeľovi OUI. Zodpovedná osoba ju chráni pred stratou, zničením, poškodením, zneužitím alebo iným neoprávneným nakladaním, pričom dbá na to, aby sa k nej zamedzil prístup neoprávnených osôb. </w:t>
      </w:r>
    </w:p>
    <w:p w:rsidR="00384F42" w:rsidRPr="00384F42" w:rsidRDefault="00384F42" w:rsidP="00384F42">
      <w:pPr>
        <w:numPr>
          <w:ilvl w:val="0"/>
          <w:numId w:val="9"/>
        </w:numPr>
      </w:pPr>
      <w:r w:rsidRPr="00384F42">
        <w:t xml:space="preserve">Oznámenie sa ukladá v spisovom obale v uzamknutej skrini. Po ukončení preverovania oznámenia sa písomná dokumentácia ukladá v zapečatenej obálke a v archívnej krabici v uzamknutej skrini v archíve. </w:t>
      </w:r>
    </w:p>
    <w:p w:rsidR="00384F42" w:rsidRPr="00384F42" w:rsidRDefault="00384F42" w:rsidP="00384F42">
      <w:pPr>
        <w:numPr>
          <w:ilvl w:val="0"/>
          <w:numId w:val="9"/>
        </w:numPr>
      </w:pPr>
      <w:r w:rsidRPr="00384F42">
        <w:t>O oznámení sa eviduje počas troch rokov od jeho prijatia</w:t>
      </w:r>
    </w:p>
    <w:p w:rsidR="00384F42" w:rsidRPr="00384F42" w:rsidRDefault="00384F42" w:rsidP="00384F42">
      <w:pPr>
        <w:numPr>
          <w:ilvl w:val="0"/>
          <w:numId w:val="10"/>
        </w:numPr>
      </w:pPr>
      <w:r w:rsidRPr="00384F42">
        <w:t>poradové číslo oznámenia podľa poradia jeho doručenia a roku doručenia,</w:t>
      </w:r>
    </w:p>
    <w:p w:rsidR="00384F42" w:rsidRPr="00384F42" w:rsidRDefault="00384F42" w:rsidP="00384F42">
      <w:pPr>
        <w:numPr>
          <w:ilvl w:val="0"/>
          <w:numId w:val="10"/>
        </w:numPr>
      </w:pPr>
      <w:r w:rsidRPr="00384F42">
        <w:t>dátum doručenia oznámenia,</w:t>
      </w:r>
    </w:p>
    <w:p w:rsidR="00384F42" w:rsidRPr="00384F42" w:rsidRDefault="00384F42" w:rsidP="00384F42">
      <w:pPr>
        <w:numPr>
          <w:ilvl w:val="0"/>
          <w:numId w:val="10"/>
        </w:numPr>
      </w:pPr>
      <w:r w:rsidRPr="00384F42">
        <w:t>meno, priezvisko a pobyt oznamovateľa, ak oznámenie nebolo anonymné,</w:t>
      </w:r>
    </w:p>
    <w:p w:rsidR="00384F42" w:rsidRPr="00384F42" w:rsidRDefault="00384F42" w:rsidP="00384F42">
      <w:pPr>
        <w:numPr>
          <w:ilvl w:val="0"/>
          <w:numId w:val="10"/>
        </w:numPr>
      </w:pPr>
      <w:r w:rsidRPr="00384F42">
        <w:t>predmet oznámenia,</w:t>
      </w:r>
    </w:p>
    <w:p w:rsidR="00384F42" w:rsidRPr="00384F42" w:rsidRDefault="00384F42" w:rsidP="00384F42">
      <w:pPr>
        <w:numPr>
          <w:ilvl w:val="0"/>
          <w:numId w:val="10"/>
        </w:numPr>
      </w:pPr>
      <w:r w:rsidRPr="00384F42">
        <w:t>výsledok preverenia oznámenia,</w:t>
      </w:r>
    </w:p>
    <w:p w:rsidR="00384F42" w:rsidRPr="00384F42" w:rsidRDefault="00384F42" w:rsidP="00384F42">
      <w:pPr>
        <w:numPr>
          <w:ilvl w:val="0"/>
          <w:numId w:val="10"/>
        </w:numPr>
      </w:pPr>
      <w:r w:rsidRPr="00384F42">
        <w:t>dátum skončenia preverenia oznámenia.</w:t>
      </w:r>
    </w:p>
    <w:p w:rsidR="00384F42" w:rsidRPr="00384F42" w:rsidRDefault="00384F42" w:rsidP="00384F42"/>
    <w:p w:rsidR="00384F42" w:rsidRPr="00384F42" w:rsidRDefault="00384F42" w:rsidP="00384F42"/>
    <w:p w:rsidR="00384F42" w:rsidRPr="00384F42" w:rsidRDefault="00384F42" w:rsidP="00384F42">
      <w:pPr>
        <w:rPr>
          <w:b/>
          <w:bCs/>
        </w:rPr>
      </w:pPr>
      <w:bookmarkStart w:id="10" w:name="_Toc145071419"/>
      <w:r w:rsidRPr="00384F42">
        <w:rPr>
          <w:b/>
          <w:bCs/>
        </w:rPr>
        <w:t>Čl. 5</w:t>
      </w:r>
      <w:r w:rsidRPr="00384F42">
        <w:rPr>
          <w:b/>
          <w:bCs/>
        </w:rPr>
        <w:br/>
        <w:t>Preverovanie oznámení</w:t>
      </w:r>
      <w:bookmarkEnd w:id="10"/>
    </w:p>
    <w:p w:rsidR="00384F42" w:rsidRPr="00384F42" w:rsidRDefault="00384F42" w:rsidP="00384F42"/>
    <w:p w:rsidR="00384F42" w:rsidRPr="00384F42" w:rsidRDefault="00384F42" w:rsidP="00384F42">
      <w:pPr>
        <w:numPr>
          <w:ilvl w:val="0"/>
          <w:numId w:val="11"/>
        </w:numPr>
      </w:pPr>
      <w:r w:rsidRPr="00384F42">
        <w:t>Zodpovedná osoba posúdi na základe obsahu a ďalších znakov podaného oznámenia, či ide o oznámenie o protispoločenskej činnosti, oznámenie o závažnej protispoločenskej činnosti alebo o iné podanie a určí ďalší postup.</w:t>
      </w:r>
    </w:p>
    <w:p w:rsidR="00384F42" w:rsidRPr="00384F42" w:rsidRDefault="00384F42" w:rsidP="00384F42">
      <w:pPr>
        <w:numPr>
          <w:ilvl w:val="0"/>
          <w:numId w:val="11"/>
        </w:numPr>
      </w:pPr>
      <w:r w:rsidRPr="00384F42">
        <w:lastRenderedPageBreak/>
        <w:t>Zodpovedná osoba preverí každé oznámenie do 90 dní odo dňa potvrdenia jeho prijatia, ak sa prijatie oznámenia nepotvrdilo, do 90 dní od uplynutia siedmych dní od prijatia oznámenia.</w:t>
      </w:r>
    </w:p>
    <w:p w:rsidR="00384F42" w:rsidRPr="00384F42" w:rsidRDefault="00384F42" w:rsidP="00384F42">
      <w:pPr>
        <w:numPr>
          <w:ilvl w:val="0"/>
          <w:numId w:val="11"/>
        </w:numPr>
      </w:pPr>
      <w:r w:rsidRPr="00384F42">
        <w:t>Ak je potrebné oznámenie doplniť alebo spresniť, zodpovedná osoba bezodkladne vyzve oznamovateľa na doplnenie alebo spresnenie a určí na to primeranú lehotu. Ak oznamovateľ doplní alebo spresní oznámenie po uplynutí lehoty podľa odseku 2 určenej na preverenie oznámenia, zodpovedná osoba začne preverovanie ako vo vzťahu k novému oznámeniu.</w:t>
      </w:r>
    </w:p>
    <w:p w:rsidR="00384F42" w:rsidRPr="00384F42" w:rsidRDefault="00384F42" w:rsidP="00384F42">
      <w:pPr>
        <w:numPr>
          <w:ilvl w:val="0"/>
          <w:numId w:val="11"/>
        </w:numPr>
      </w:pPr>
      <w:r w:rsidRPr="00384F42">
        <w:t xml:space="preserve">Ak je to potrebné, zodpovedná osoba môže prizvať na preverenie oznámenia  ďalšiu osobu, najmä osobu s odbornými znalosťami v oblasti, ktorej sa oznámenie týka. Prizvaná osoba je viazaná povinnosťou mlčanlivosti o totožnosti oznamovateľa a dotknutej osoby a o obsahu oznámenia. </w:t>
      </w:r>
    </w:p>
    <w:p w:rsidR="00384F42" w:rsidRPr="00384F42" w:rsidRDefault="00384F42" w:rsidP="00384F42">
      <w:pPr>
        <w:numPr>
          <w:ilvl w:val="0"/>
          <w:numId w:val="11"/>
        </w:numPr>
      </w:pPr>
      <w:r w:rsidRPr="00384F42">
        <w:t>Oznámenie nesmie preverovať osoba</w:t>
      </w:r>
    </w:p>
    <w:p w:rsidR="00384F42" w:rsidRPr="00384F42" w:rsidRDefault="00384F42" w:rsidP="00384F42">
      <w:pPr>
        <w:numPr>
          <w:ilvl w:val="0"/>
          <w:numId w:val="12"/>
        </w:numPr>
      </w:pPr>
      <w:r w:rsidRPr="00384F42">
        <w:t>proti ktorej oznámenie smeruje, ani osoba v jej riadiacej pôsobnosti,</w:t>
      </w:r>
    </w:p>
    <w:p w:rsidR="00384F42" w:rsidRPr="00384F42" w:rsidRDefault="00384F42" w:rsidP="00384F42">
      <w:pPr>
        <w:numPr>
          <w:ilvl w:val="0"/>
          <w:numId w:val="12"/>
        </w:numPr>
      </w:pPr>
      <w:r w:rsidRPr="00384F42">
        <w:t>ktorá sa zúčastnila na činnosti, ktorá je predmetom oznámenia,</w:t>
      </w:r>
    </w:p>
    <w:p w:rsidR="00384F42" w:rsidRPr="00384F42" w:rsidRDefault="00384F42" w:rsidP="00384F42">
      <w:pPr>
        <w:numPr>
          <w:ilvl w:val="0"/>
          <w:numId w:val="12"/>
        </w:numPr>
      </w:pPr>
      <w:r w:rsidRPr="00384F42">
        <w:t>o ktorej nepredpojatosti možno mať dôvodné pochybnosti vzhľadom na jej vzťah k oznamovateľovi alebo k predmetu oznámenia.</w:t>
      </w:r>
    </w:p>
    <w:p w:rsidR="00384F42" w:rsidRPr="00384F42" w:rsidRDefault="00384F42" w:rsidP="00384F42">
      <w:pPr>
        <w:numPr>
          <w:ilvl w:val="0"/>
          <w:numId w:val="11"/>
        </w:numPr>
      </w:pPr>
      <w:r w:rsidRPr="00384F42">
        <w:t xml:space="preserve">Ak oznámenie nemôže preveriť zodpovedná osoba z dôvodov uvedených v  odseku 5, osobu, ktorá oznámenie preverí, určí riaditeľ OUI. </w:t>
      </w:r>
    </w:p>
    <w:p w:rsidR="00384F42" w:rsidRPr="00384F42" w:rsidRDefault="00384F42" w:rsidP="00384F42">
      <w:pPr>
        <w:numPr>
          <w:ilvl w:val="0"/>
          <w:numId w:val="11"/>
        </w:numPr>
      </w:pPr>
      <w:r w:rsidRPr="00384F42">
        <w:t xml:space="preserve">Za preverenie oznámenia sa považuje aj postúpenie veci na vybavenie podľa Trestného poriadku alebo osobitného predpisu. Zodpovedná osoba o tejto skutočnosti vopred oboznámi oznamovateľa; to neplatí, ak by informovaním oznamovateľa mohlo byť zmarené prešetrenie oznámenia. </w:t>
      </w:r>
    </w:p>
    <w:p w:rsidR="00384F42" w:rsidRPr="00384F42" w:rsidRDefault="00384F42" w:rsidP="00384F42">
      <w:pPr>
        <w:numPr>
          <w:ilvl w:val="0"/>
          <w:numId w:val="11"/>
        </w:numPr>
      </w:pPr>
      <w:r w:rsidRPr="00384F42">
        <w:t>Organizačné útvary a zamestnanci sú na základe žiadosti zodpovednej osoby povinní poskytnúť súčinnosť pri preverovaní oznámenia, prerokovaní výsledkov preverenia a spísaní zápisnice z preverenia oznámenia.</w:t>
      </w:r>
    </w:p>
    <w:p w:rsidR="00384F42" w:rsidRPr="00384F42" w:rsidRDefault="00384F42" w:rsidP="00384F42">
      <w:pPr>
        <w:numPr>
          <w:ilvl w:val="0"/>
          <w:numId w:val="11"/>
        </w:numPr>
      </w:pPr>
      <w:r w:rsidRPr="00384F42">
        <w:t>Osoba, ktorá preveruje oznámenie, je oprávnená</w:t>
      </w:r>
    </w:p>
    <w:p w:rsidR="00384F42" w:rsidRPr="00384F42" w:rsidRDefault="00384F42" w:rsidP="00384F42">
      <w:pPr>
        <w:numPr>
          <w:ilvl w:val="0"/>
          <w:numId w:val="13"/>
        </w:numPr>
      </w:pPr>
      <w:r w:rsidRPr="00384F42">
        <w:t>vstupovať do nehnuteľností, zariadení a dopravných prostriedkov v správe zamestnávateľa,</w:t>
      </w:r>
    </w:p>
    <w:p w:rsidR="00384F42" w:rsidRPr="00384F42" w:rsidRDefault="00384F42" w:rsidP="00384F42">
      <w:pPr>
        <w:numPr>
          <w:ilvl w:val="0"/>
          <w:numId w:val="13"/>
        </w:numPr>
      </w:pPr>
      <w:r w:rsidRPr="00384F42">
        <w:t>vyžadovať predloženie originálov dokladov, záznamov dát na pamäťových médiách, ich výpisov, vyjadrení a ostatných informácií potrebných na preverenie oznámenia a na zabezpečenie dôkazov o prípadnej protispoločenskej činnosti,</w:t>
      </w:r>
    </w:p>
    <w:p w:rsidR="00384F42" w:rsidRPr="00384F42" w:rsidRDefault="00384F42" w:rsidP="00384F42">
      <w:pPr>
        <w:numPr>
          <w:ilvl w:val="0"/>
          <w:numId w:val="13"/>
        </w:numPr>
      </w:pPr>
      <w:r w:rsidRPr="00384F42">
        <w:t>vyhotovovať kópie originálov dokladov, záznamov dát na pamäťových médiách, ich výpisov, vyjadrení a ostatných informácií potrebných na preverenie oznámenia a na zabezpečenie dôkazov o prípadnej protispoločenskej činnosti a nakladať s nimi,</w:t>
      </w:r>
    </w:p>
    <w:p w:rsidR="00384F42" w:rsidRPr="00384F42" w:rsidRDefault="00384F42" w:rsidP="00384F42">
      <w:pPr>
        <w:numPr>
          <w:ilvl w:val="0"/>
          <w:numId w:val="13"/>
        </w:numPr>
      </w:pPr>
      <w:r w:rsidRPr="00384F42">
        <w:t>vyžadovať od preverovanej osoby a zamestnávateľa súčinnosť potrebnú na preverenie oznámenia. O preverení oznámenia sa vyhotoví zápisnica v dvoch rovnopisoch podľa vzoru v prílohe č. 2, ktorej jeden rovnopis zodpovedná osoba odovzdá riaditeľovi OUI</w:t>
      </w:r>
    </w:p>
    <w:p w:rsidR="00384F42" w:rsidRPr="00384F42" w:rsidRDefault="00384F42" w:rsidP="00384F42">
      <w:pPr>
        <w:numPr>
          <w:ilvl w:val="0"/>
          <w:numId w:val="11"/>
        </w:numPr>
      </w:pPr>
      <w:r w:rsidRPr="00384F42">
        <w:t xml:space="preserve">Ak sa oznámenie preverovaním preukázalo ako opodstatnené, zodpovedná osoba v zápisnici navrhne opatrenia na nápravu, organizačný útvar, ktorý ich má prijať a termíny na ich splnenie. Po uplynutí navrhovanej lehoty príslušný organizačný útvar predloží zodpovednej </w:t>
      </w:r>
      <w:r w:rsidRPr="00384F42">
        <w:lastRenderedPageBreak/>
        <w:t>osobe informáciu o prijatých opatreniach. Organizačné útvary poskytnú zodpovednej osobe  pri navrhovaní opatrení na nápravu potrebnú súčinnosť.</w:t>
      </w:r>
    </w:p>
    <w:p w:rsidR="00384F42" w:rsidRPr="00384F42" w:rsidRDefault="00384F42" w:rsidP="00384F42">
      <w:pPr>
        <w:numPr>
          <w:ilvl w:val="0"/>
          <w:numId w:val="11"/>
        </w:numPr>
      </w:pPr>
      <w:r w:rsidRPr="00384F42">
        <w:t>Zodpovedná osoba je povinná oznamovateľa písomne oboznámiť s výsledkom preverenia oznámenia a opatreniami, ak sa prijali na základe preverenia oznámenia do 90 dní od potvrdenia prijatia oznámenia alebo ak sa prijatie oznámenia nepotvrdilo, do 90 dní od uplynutia siedmich dní od prijatia oznámenia. Ak výsledkom preverenia oznámenia je postúpenie veci na vybavenie podľa Trestného poriadku alebo osobitných predpisov, zodpovedná osoba je povinná o tejto skutočnosti vopred informovať oznamovateľa. To neplatí, ak by informovaním oznamovateľa mohlo byť zmarené prešetrenie oznámenia. Zodpovedná osoba je povinná vyžiadať si výsledok vybavenia v rozsahu, ako to umožňuje osobitný predpis a do desiatich dní od doručenia tohto výsledku s ním oboznámiť oznamovateľa.</w:t>
      </w:r>
    </w:p>
    <w:p w:rsidR="00384F42" w:rsidRPr="00384F42" w:rsidRDefault="00384F42" w:rsidP="00384F42">
      <w:pPr>
        <w:numPr>
          <w:ilvl w:val="0"/>
          <w:numId w:val="11"/>
        </w:numPr>
      </w:pPr>
      <w:r w:rsidRPr="00384F42">
        <w:t xml:space="preserve">Oznámenie, ktoré preukázateľne nebolo urobené v dobrej viere, sa podľa konkrétnych okolností prípadu môže považovať za závažné porušenie služobnej disciplíny alebo závažné porušenie pracovnej disciplíny. </w:t>
      </w:r>
    </w:p>
    <w:p w:rsidR="00384F42" w:rsidRPr="00384F42" w:rsidRDefault="00384F42" w:rsidP="00384F42">
      <w:pPr>
        <w:rPr>
          <w:b/>
        </w:rPr>
      </w:pPr>
      <w:bookmarkStart w:id="11" w:name="_Toc145071420"/>
      <w:r w:rsidRPr="00384F42">
        <w:rPr>
          <w:b/>
        </w:rPr>
        <w:t>Čl. 6</w:t>
      </w:r>
      <w:r w:rsidRPr="00384F42">
        <w:rPr>
          <w:b/>
        </w:rPr>
        <w:br/>
        <w:t>Odvetné opatrenia</w:t>
      </w:r>
      <w:bookmarkEnd w:id="11"/>
      <w:r w:rsidRPr="00384F42">
        <w:rPr>
          <w:b/>
        </w:rPr>
        <w:t xml:space="preserve"> </w:t>
      </w:r>
    </w:p>
    <w:p w:rsidR="00384F42" w:rsidRPr="00384F42" w:rsidRDefault="00384F42" w:rsidP="00384F42"/>
    <w:p w:rsidR="00384F42" w:rsidRPr="00384F42" w:rsidRDefault="00384F42" w:rsidP="00384F42">
      <w:pPr>
        <w:numPr>
          <w:ilvl w:val="0"/>
          <w:numId w:val="14"/>
        </w:numPr>
      </w:pPr>
      <w:r w:rsidRPr="00384F42">
        <w:t>Odvetné opatrenia voči oznamovateľom sú zakázané. Nikto nesmie hroziť odvetným opatrením alebo postihovať odvetným opatrením oznamovateľa alebo</w:t>
      </w:r>
    </w:p>
    <w:p w:rsidR="00384F42" w:rsidRPr="00384F42" w:rsidRDefault="00384F42" w:rsidP="00384F42">
      <w:pPr>
        <w:numPr>
          <w:ilvl w:val="0"/>
          <w:numId w:val="15"/>
        </w:numPr>
      </w:pPr>
      <w:r w:rsidRPr="00384F42">
        <w:t>blízku osobu oznamovateľa,</w:t>
      </w:r>
    </w:p>
    <w:p w:rsidR="00384F42" w:rsidRPr="00384F42" w:rsidRDefault="00384F42" w:rsidP="00384F42">
      <w:pPr>
        <w:numPr>
          <w:ilvl w:val="0"/>
          <w:numId w:val="15"/>
        </w:numPr>
      </w:pPr>
      <w:r w:rsidRPr="00384F42">
        <w:t>fyzickú osobu – podnikateľa alebo právnickú osobu, ktorú oznamovateľ ovláda, v ktorej má účasť, v ktorej vykonáva funkciu člena orgánu právnickej osoby, alebo pre ktorú vykonáva pracovnú činnosť,</w:t>
      </w:r>
    </w:p>
    <w:p w:rsidR="00384F42" w:rsidRPr="00384F42" w:rsidRDefault="00384F42" w:rsidP="00384F42">
      <w:pPr>
        <w:numPr>
          <w:ilvl w:val="0"/>
          <w:numId w:val="15"/>
        </w:numPr>
      </w:pPr>
      <w:r w:rsidRPr="00384F42">
        <w:t>fyzickú osobu – podnikateľa alebo právnickú osobu, ktorá ovláda právnickú osobu, v ktorej má oznamovateľ účasť alebo v ktorej vykonáva funkciu člena orgánu právnickej osoby,</w:t>
      </w:r>
    </w:p>
    <w:p w:rsidR="00384F42" w:rsidRPr="00384F42" w:rsidRDefault="00384F42" w:rsidP="00384F42">
      <w:pPr>
        <w:numPr>
          <w:ilvl w:val="0"/>
          <w:numId w:val="15"/>
        </w:numPr>
      </w:pPr>
      <w:r w:rsidRPr="00384F42">
        <w:t>osobu, ktorá oznamovateľovi poskytla pomoc v súvislosti s oznámením, a</w:t>
      </w:r>
    </w:p>
    <w:p w:rsidR="00384F42" w:rsidRPr="00384F42" w:rsidRDefault="00384F42" w:rsidP="00384F42">
      <w:pPr>
        <w:numPr>
          <w:ilvl w:val="0"/>
          <w:numId w:val="15"/>
        </w:numPr>
      </w:pPr>
      <w:r w:rsidRPr="00384F42">
        <w:t xml:space="preserve"> zodpovednú osobu alebo osobu, ktorá sa podieľa na plnení úloh zodpovednej osoby.</w:t>
      </w:r>
    </w:p>
    <w:p w:rsidR="00384F42" w:rsidRPr="00384F42" w:rsidRDefault="00384F42" w:rsidP="00384F42"/>
    <w:p w:rsidR="00384F42" w:rsidRPr="00384F42" w:rsidRDefault="00384F42" w:rsidP="00384F42">
      <w:pPr>
        <w:numPr>
          <w:ilvl w:val="0"/>
          <w:numId w:val="14"/>
        </w:numPr>
      </w:pPr>
      <w:r w:rsidRPr="00384F42">
        <w:t>Oznamovateľ a osoba podľa odseku 1 písm. a) až e) sa nemôže vzdať práva na ochranu pred postihom odvetným opatrením.</w:t>
      </w:r>
    </w:p>
    <w:p w:rsidR="00384F42" w:rsidRPr="00384F42" w:rsidRDefault="00384F42" w:rsidP="00384F42">
      <w:pPr>
        <w:numPr>
          <w:ilvl w:val="0"/>
          <w:numId w:val="14"/>
        </w:numPr>
      </w:pPr>
      <w:r w:rsidRPr="00384F42">
        <w:t xml:space="preserve">Nikto nesmie byť vystavený diskriminácii, disciplinárnemu konaniu, skončeniu pracovnoprávneho vzťahu alebo inému postihu za oznámenie protispoločenskej činnosti podané v dobrej viere alebo za odmietnutie podieľať sa na protispoločenskej činnosti. To neplatí, ak sa oznamovateľ podieľal na oznamovanej protispoločenskej činnosti. </w:t>
      </w:r>
    </w:p>
    <w:p w:rsidR="00384F42" w:rsidRPr="00384F42" w:rsidRDefault="00384F42" w:rsidP="00384F42">
      <w:pPr>
        <w:numPr>
          <w:ilvl w:val="0"/>
          <w:numId w:val="14"/>
        </w:numPr>
      </w:pPr>
      <w:r w:rsidRPr="00384F42">
        <w:t xml:space="preserve">Za odvetné opatrenie sa na účely tejto smernice nepovažuje právny úkon súvisiaci so skončením pracovnoprávneho vzťahu alebo jeho zmenou, ktorý je dôsledkom právnej skutočnosti, ktorá nezávisí od posúdenia alebo rozhodnutia zamestnávateľa alebo preukázateľne nesúvisí s oznámením zamestnanca o protispoločenskej činnosti. </w:t>
      </w:r>
    </w:p>
    <w:p w:rsidR="00384F42" w:rsidRPr="00384F42" w:rsidRDefault="00384F42" w:rsidP="00384F42">
      <w:pPr>
        <w:numPr>
          <w:ilvl w:val="0"/>
          <w:numId w:val="14"/>
        </w:numPr>
      </w:pPr>
      <w:r w:rsidRPr="00384F42">
        <w:lastRenderedPageBreak/>
        <w:t>Ak sa zamestnanec domnieva, že skončenie pracovnoprávneho vzťahu alebo jeho zmena sa uskutočňuje ako odvetné opatrenie, má právo oznámiť podozrenie o odvetnom opatrení zodpovednej osobe ešte pred jej uskutočnením.</w:t>
      </w:r>
    </w:p>
    <w:p w:rsidR="00384F42" w:rsidRPr="00384F42" w:rsidRDefault="00384F42" w:rsidP="00384F42">
      <w:pPr>
        <w:numPr>
          <w:ilvl w:val="0"/>
          <w:numId w:val="14"/>
        </w:numPr>
      </w:pPr>
      <w:r w:rsidRPr="00384F42">
        <w:t>Zodpovedná osoba je povinná preveriť oznámenie oznamovateľa o tom, že sa proti nemu uplatňuje odvetné opatrenie.</w:t>
      </w:r>
    </w:p>
    <w:p w:rsidR="00384F42" w:rsidRPr="00384F42" w:rsidRDefault="00384F42" w:rsidP="00384F42">
      <w:pPr>
        <w:numPr>
          <w:ilvl w:val="0"/>
          <w:numId w:val="14"/>
        </w:numPr>
      </w:pPr>
      <w:r w:rsidRPr="00384F42">
        <w:t xml:space="preserve">Pri podávaní, prijímaní, evidencii a preverovaní oznámenia o odvetnom opatrení sa postupuje podľa čl. 4 a 5. </w:t>
      </w:r>
    </w:p>
    <w:p w:rsidR="00384F42" w:rsidRPr="00384F42" w:rsidRDefault="00384F42" w:rsidP="00384F42">
      <w:pPr>
        <w:numPr>
          <w:ilvl w:val="0"/>
          <w:numId w:val="14"/>
        </w:numPr>
      </w:pPr>
      <w:r w:rsidRPr="00384F42">
        <w:t>Zodpovedná osoba podáva do 15 dní od ukončenia preverenia oznámenia o odvetnom opatrení správu o výsledku preverenia oznámenia o odvetnom opatrení riaditeľovi OUI a dotknutému zamestnancovi. Ak sa podozrenie o odvetnom opatrení potvrdí, zodpovedná osoba navrhne nápravné opatrenia alebo preventívne opatrenia na zabránenie odvetného opatrenia.</w:t>
      </w:r>
    </w:p>
    <w:p w:rsidR="00384F42" w:rsidRPr="00384F42" w:rsidRDefault="00384F42" w:rsidP="00384F42">
      <w:pPr>
        <w:numPr>
          <w:ilvl w:val="0"/>
          <w:numId w:val="14"/>
        </w:numPr>
      </w:pPr>
      <w:r w:rsidRPr="00384F42">
        <w:t>Voči osobe, ktorá uplatňuje odvetné opatrenie, sa postupuje podľa § 18 zákona o ochrane oznamovateľov.</w:t>
      </w:r>
    </w:p>
    <w:p w:rsidR="00384F42" w:rsidRPr="00384F42" w:rsidRDefault="00384F42" w:rsidP="00384F42"/>
    <w:p w:rsidR="00384F42" w:rsidRPr="00384F42" w:rsidRDefault="00384F42" w:rsidP="00384F42">
      <w:pPr>
        <w:rPr>
          <w:b/>
        </w:rPr>
      </w:pPr>
      <w:bookmarkStart w:id="12" w:name="_Toc145071421"/>
      <w:r w:rsidRPr="00384F42">
        <w:rPr>
          <w:b/>
        </w:rPr>
        <w:t>Čl. 7</w:t>
      </w:r>
      <w:r w:rsidRPr="00384F42">
        <w:rPr>
          <w:b/>
        </w:rPr>
        <w:br/>
        <w:t>Ochrana zamestnanca</w:t>
      </w:r>
      <w:bookmarkEnd w:id="12"/>
    </w:p>
    <w:p w:rsidR="00384F42" w:rsidRPr="00384F42" w:rsidRDefault="00384F42" w:rsidP="00384F42"/>
    <w:p w:rsidR="00384F42" w:rsidRPr="00384F42" w:rsidRDefault="00384F42" w:rsidP="00384F42">
      <w:pPr>
        <w:numPr>
          <w:ilvl w:val="0"/>
          <w:numId w:val="16"/>
        </w:numPr>
      </w:pPr>
      <w:r w:rsidRPr="00384F42">
        <w:t>Oznamovateľ, ktorý podal oznámenie o závažnej protispoločenskej činnosti orgánu činnému v trestnom konaní alebo správnemu orgánu, môže požiadať o postavenie chráneného oznamovateľa podľa § 3 a 4 zákona o ochrane oznamovateľov v rámci trestného konania alebo podľa § 5 a 6 zákona o ochrane oznamovateľov v rámci konania o správnom delikte.</w:t>
      </w:r>
    </w:p>
    <w:p w:rsidR="00384F42" w:rsidRPr="00384F42" w:rsidRDefault="00384F42" w:rsidP="00384F42">
      <w:pPr>
        <w:numPr>
          <w:ilvl w:val="0"/>
          <w:numId w:val="16"/>
        </w:numPr>
      </w:pPr>
      <w:r w:rsidRPr="00384F42">
        <w:t>Na základe postavenia chráneného oznamovateľa zamestnávateľ nemôže urobiť právny úkon alebo vydať rozhodnutie v pracovnoprávnom vzťahu (ďalej len „pracovnoprávny úkon“)  voči zamestnancovi, na ktorý nedal súhlas, len so súhlasom úradu. Každý právny úkon zamestnávateľa voči takému zamestnancovi vykonaný bez súhlasu úradu je neplatný.</w:t>
      </w:r>
    </w:p>
    <w:p w:rsidR="00384F42" w:rsidRPr="00384F42" w:rsidRDefault="00384F42" w:rsidP="00384F42">
      <w:pPr>
        <w:numPr>
          <w:ilvl w:val="0"/>
          <w:numId w:val="16"/>
        </w:numPr>
      </w:pPr>
      <w:r w:rsidRPr="00384F42">
        <w:t xml:space="preserve">Súhlas úradu sa nevyžaduje, ak sa pracovnoprávnym úkonom podľa odseku 2 priznáva nárok, alebo ak ide o pracovnoprávny  úkon súvisiaci so skončením pracovnoprávneho vzťahu, ako dôsledok právnej skutočnosti, ktorá nesúvisí od posúdenia zamestnávateľa. </w:t>
      </w:r>
    </w:p>
    <w:p w:rsidR="00384F42" w:rsidRPr="00384F42" w:rsidRDefault="00384F42" w:rsidP="00384F42">
      <w:pPr>
        <w:numPr>
          <w:ilvl w:val="0"/>
          <w:numId w:val="16"/>
        </w:numPr>
      </w:pPr>
      <w:r w:rsidRPr="00384F42">
        <w:t>Ak sa oznamovateľ domnieva, že v súvislosti s oznámením bol voči nemu urobený pracovnoprávny úkon, s ktorým nesúhlasí, môže požiadať úrad do 15 dní odo dňa, keď sa dozvedel o  pracovnoprávnom úkone, s ktorým nesúhlasí, o pozastavenie jeho účinnosti.</w:t>
      </w:r>
    </w:p>
    <w:p w:rsidR="00384F42" w:rsidRPr="00384F42" w:rsidRDefault="00384F42" w:rsidP="00384F42">
      <w:pPr>
        <w:numPr>
          <w:ilvl w:val="0"/>
          <w:numId w:val="16"/>
        </w:numPr>
      </w:pPr>
      <w:r w:rsidRPr="00384F42">
        <w:t xml:space="preserve">Ak úrad pozastaví účinnosť podľa odseku 4, účinnosť pozastavenia oznámenia sa začína dňom doručenia potvrdenia oznamovateľovi. Pozastavenie účinnosti pracovnoprávneho úkonu zamestnávateľa na základe potvrdenia o jeho pozastavení vydaného úradom sa skončí uplynutím 30 dní od doručenia potvrdenia oznamovateľovi. Doručením návrhu na nariadenie neodkladného opatrenia na súd počas tejto lehoty sa trvanie pozastavenia účinnosti pracovnoprávneho úkonu predlžuje až do nadobudnutia vykonateľnosti rozhodnutia súdu o tomto návrhu. </w:t>
      </w:r>
    </w:p>
    <w:p w:rsidR="00384F42" w:rsidRPr="00384F42" w:rsidRDefault="00384F42" w:rsidP="00384F42"/>
    <w:p w:rsidR="00384F42" w:rsidRPr="00384F42" w:rsidRDefault="00384F42" w:rsidP="00384F42">
      <w:pPr>
        <w:rPr>
          <w:b/>
        </w:rPr>
      </w:pPr>
      <w:bookmarkStart w:id="13" w:name="_Toc145071422"/>
      <w:r w:rsidRPr="00384F42">
        <w:rPr>
          <w:b/>
        </w:rPr>
        <w:lastRenderedPageBreak/>
        <w:t>Čl. 8</w:t>
      </w:r>
      <w:r w:rsidRPr="00384F42">
        <w:rPr>
          <w:b/>
        </w:rPr>
        <w:br/>
        <w:t>Povinnosť zachovávať mlčanlivosť</w:t>
      </w:r>
      <w:bookmarkEnd w:id="13"/>
    </w:p>
    <w:p w:rsidR="00384F42" w:rsidRPr="00384F42" w:rsidRDefault="00384F42" w:rsidP="00384F42"/>
    <w:p w:rsidR="00384F42" w:rsidRPr="00384F42" w:rsidRDefault="00384F42" w:rsidP="00384F42">
      <w:pPr>
        <w:numPr>
          <w:ilvl w:val="0"/>
          <w:numId w:val="17"/>
        </w:numPr>
      </w:pPr>
      <w:r w:rsidRPr="00384F42">
        <w:t xml:space="preserve">Zodpovedná osoba, zamestnávateľ, zamestnanci sú povinní pri prijímaní, preverovaní a evidovaní oznámení zachovávať mlčanlivosť o totožnosti oznamovateľa, dotknutej osoby a o skutočnostiach, o ktorých sa dozvedeli pri prijímaní a preverovaní oznámenia. Tým nie je dotknutá povinnosť poskytnúť informácie o totožnosti oznamovateľa, dotknutej osoby na účely trestného konania alebo konania o správnom delikte podľa osobitných predpisov. </w:t>
      </w:r>
    </w:p>
    <w:p w:rsidR="00384F42" w:rsidRPr="00384F42" w:rsidRDefault="00384F42" w:rsidP="00384F42">
      <w:pPr>
        <w:numPr>
          <w:ilvl w:val="0"/>
          <w:numId w:val="17"/>
        </w:numPr>
      </w:pPr>
      <w:r w:rsidRPr="00384F42">
        <w:t>Zodpovedná osoba vždy kontaktuje oznamovateľa tak, aby nedošlo k prezradeniu jeho identity. Na poskytnutie informácie o totožnosti oznamovateľa je potrebný jeho písomný súhlas.</w:t>
      </w:r>
    </w:p>
    <w:p w:rsidR="00384F42" w:rsidRPr="00384F42" w:rsidRDefault="00384F42" w:rsidP="00384F42">
      <w:pPr>
        <w:numPr>
          <w:ilvl w:val="0"/>
          <w:numId w:val="17"/>
        </w:numPr>
      </w:pPr>
      <w:r w:rsidRPr="00384F42">
        <w:t>Povinnosť zachovávať mlčanlivosť o totožnosti oznamovateľa trvá aj po skončení preverovania alebo po skončení vyšetrovania orgánov činných v trestnom konaní, a to aj vtedy, ak sa podozrenie z protispoločenskej činnosti nepreukázalo, a po ukončení štátnozamestnaneckého pomeru alebo pracovného pomeru osoby podľa odseku 1 s OUI.</w:t>
      </w:r>
    </w:p>
    <w:p w:rsidR="00384F42" w:rsidRPr="00384F42" w:rsidRDefault="00384F42" w:rsidP="00384F42"/>
    <w:p w:rsidR="00384F42" w:rsidRPr="00384F42" w:rsidRDefault="00384F42" w:rsidP="00384F42">
      <w:pPr>
        <w:rPr>
          <w:b/>
        </w:rPr>
      </w:pPr>
      <w:bookmarkStart w:id="14" w:name="_Toc145071423"/>
      <w:r w:rsidRPr="00384F42">
        <w:rPr>
          <w:b/>
        </w:rPr>
        <w:t>Čl. 9</w:t>
      </w:r>
      <w:r w:rsidRPr="00384F42">
        <w:rPr>
          <w:b/>
        </w:rPr>
        <w:br/>
      </w:r>
      <w:bookmarkStart w:id="15" w:name="_Hlk102721838"/>
      <w:r w:rsidRPr="00384F42">
        <w:rPr>
          <w:b/>
        </w:rPr>
        <w:t>Spracúvanie osobných údajov a ochrana osobných údajov oznamovateľa</w:t>
      </w:r>
      <w:bookmarkEnd w:id="14"/>
    </w:p>
    <w:p w:rsidR="00384F42" w:rsidRPr="00384F42" w:rsidRDefault="00384F42" w:rsidP="00384F42"/>
    <w:p w:rsidR="00384F42" w:rsidRPr="00384F42" w:rsidRDefault="00384F42" w:rsidP="00384F42">
      <w:pPr>
        <w:numPr>
          <w:ilvl w:val="0"/>
          <w:numId w:val="18"/>
        </w:numPr>
      </w:pPr>
      <w:r w:rsidRPr="00384F42">
        <w:t>Pri spracúvaní osobných údajov získaných pri preverovaní oznámenia sa postupuje podľa osobitného predpisu.</w:t>
      </w:r>
      <w:r w:rsidRPr="00384F42">
        <w:rPr>
          <w:vertAlign w:val="superscript"/>
        </w:rPr>
        <w:footnoteReference w:id="1"/>
      </w:r>
      <w:r w:rsidRPr="00384F42">
        <w:t>)</w:t>
      </w:r>
    </w:p>
    <w:p w:rsidR="00384F42" w:rsidRPr="00384F42" w:rsidRDefault="00384F42" w:rsidP="00384F42">
      <w:pPr>
        <w:numPr>
          <w:ilvl w:val="0"/>
          <w:numId w:val="18"/>
        </w:numPr>
      </w:pPr>
      <w:r w:rsidRPr="00384F42">
        <w:t>Zodpovedná osoba na účely evidencie a preverovania oznámenia spracúva osobné údaje v rozsahu</w:t>
      </w:r>
    </w:p>
    <w:p w:rsidR="00384F42" w:rsidRPr="00384F42" w:rsidRDefault="00384F42" w:rsidP="00384F42">
      <w:pPr>
        <w:numPr>
          <w:ilvl w:val="0"/>
          <w:numId w:val="19"/>
        </w:numPr>
      </w:pPr>
      <w:r w:rsidRPr="00384F42">
        <w:t>meno, priezvisko, pobyt oznamovateľa</w:t>
      </w:r>
      <w:bookmarkStart w:id="16" w:name="_Hlk101959526"/>
      <w:r w:rsidRPr="00384F42">
        <w:t>,</w:t>
      </w:r>
    </w:p>
    <w:bookmarkEnd w:id="16"/>
    <w:p w:rsidR="00384F42" w:rsidRPr="00384F42" w:rsidRDefault="00384F42" w:rsidP="00384F42">
      <w:pPr>
        <w:numPr>
          <w:ilvl w:val="0"/>
          <w:numId w:val="19"/>
        </w:numPr>
      </w:pPr>
      <w:r w:rsidRPr="00384F42">
        <w:t>meno, priezvisko osoby, voči ktorej je oznámenie podané; ak ide o zamestnanca OUI jej funkcia a názov organizačného útvaru, na ktorom je zaradená,</w:t>
      </w:r>
    </w:p>
    <w:p w:rsidR="00384F42" w:rsidRPr="00384F42" w:rsidRDefault="00384F42" w:rsidP="00384F42">
      <w:pPr>
        <w:numPr>
          <w:ilvl w:val="0"/>
          <w:numId w:val="19"/>
        </w:numPr>
      </w:pPr>
      <w:r w:rsidRPr="00384F42">
        <w:t>meno, priezvisko osoby, ktorá podáva zodpovednej osobe k oznámeniu vysvetlenie, jej funkcia a názov organizačného útvaru, na ktorom je zaradená.</w:t>
      </w:r>
    </w:p>
    <w:p w:rsidR="00384F42" w:rsidRPr="00384F42" w:rsidRDefault="00384F42" w:rsidP="00384F42">
      <w:pPr>
        <w:numPr>
          <w:ilvl w:val="0"/>
          <w:numId w:val="18"/>
        </w:numPr>
      </w:pPr>
      <w:r w:rsidRPr="00384F42">
        <w:t>Osobné údaje uvedené v odseku 2 sa uchovávajú tri roky odo dňa prijatia oznámenia.</w:t>
      </w:r>
    </w:p>
    <w:p w:rsidR="00384F42" w:rsidRPr="00384F42" w:rsidRDefault="00384F42" w:rsidP="00384F42">
      <w:pPr>
        <w:numPr>
          <w:ilvl w:val="0"/>
          <w:numId w:val="18"/>
        </w:numPr>
      </w:pPr>
      <w:r w:rsidRPr="00384F42">
        <w:t>Oznamovateľ poskytuje aktuálne osobné údaje.</w:t>
      </w:r>
    </w:p>
    <w:p w:rsidR="00384F42" w:rsidRPr="00384F42" w:rsidRDefault="00384F42" w:rsidP="00384F42">
      <w:pPr>
        <w:numPr>
          <w:ilvl w:val="0"/>
          <w:numId w:val="18"/>
        </w:numPr>
      </w:pPr>
      <w:r w:rsidRPr="00384F42">
        <w:t>Oznamovateľ má právo</w:t>
      </w:r>
    </w:p>
    <w:p w:rsidR="00384F42" w:rsidRPr="00384F42" w:rsidRDefault="00384F42" w:rsidP="00384F42">
      <w:pPr>
        <w:numPr>
          <w:ilvl w:val="0"/>
          <w:numId w:val="20"/>
        </w:numPr>
      </w:pPr>
      <w:r w:rsidRPr="00384F42">
        <w:t>žiadať o prístup k svojim osobným údajom,</w:t>
      </w:r>
    </w:p>
    <w:p w:rsidR="00384F42" w:rsidRPr="00384F42" w:rsidRDefault="00384F42" w:rsidP="00384F42">
      <w:pPr>
        <w:numPr>
          <w:ilvl w:val="0"/>
          <w:numId w:val="20"/>
        </w:numPr>
      </w:pPr>
      <w:r w:rsidRPr="00384F42">
        <w:t>žiadať o opravu, vymazanie alebo obmedzenie spracúvania svojich osobných údajov,</w:t>
      </w:r>
    </w:p>
    <w:p w:rsidR="00384F42" w:rsidRPr="00384F42" w:rsidRDefault="00384F42" w:rsidP="00384F42">
      <w:pPr>
        <w:numPr>
          <w:ilvl w:val="0"/>
          <w:numId w:val="20"/>
        </w:numPr>
      </w:pPr>
      <w:r w:rsidRPr="00384F42">
        <w:t>namietať spracúvanie svojich osobných údajov,</w:t>
      </w:r>
    </w:p>
    <w:p w:rsidR="00384F42" w:rsidRPr="00384F42" w:rsidRDefault="00384F42" w:rsidP="00384F42">
      <w:pPr>
        <w:numPr>
          <w:ilvl w:val="0"/>
          <w:numId w:val="20"/>
        </w:numPr>
      </w:pPr>
      <w:r w:rsidRPr="00384F42">
        <w:lastRenderedPageBreak/>
        <w:t>podať návrh na začatie konania na Úrade na ochranu osobných údajov.</w:t>
      </w:r>
    </w:p>
    <w:bookmarkEnd w:id="15"/>
    <w:p w:rsidR="00384F42" w:rsidRPr="00384F42" w:rsidRDefault="00384F42" w:rsidP="00384F42"/>
    <w:p w:rsidR="00384F42" w:rsidRPr="00384F42" w:rsidRDefault="00384F42" w:rsidP="00384F42">
      <w:pPr>
        <w:rPr>
          <w:b/>
        </w:rPr>
      </w:pPr>
      <w:bookmarkStart w:id="17" w:name="_Toc145071424"/>
      <w:r w:rsidRPr="00384F42">
        <w:rPr>
          <w:b/>
        </w:rPr>
        <w:t>Čl. 11</w:t>
      </w:r>
      <w:r w:rsidRPr="00384F42">
        <w:rPr>
          <w:b/>
        </w:rPr>
        <w:br/>
        <w:t>Účinnosť</w:t>
      </w:r>
      <w:bookmarkEnd w:id="17"/>
    </w:p>
    <w:p w:rsidR="00384F42" w:rsidRPr="00384F42" w:rsidRDefault="00384F42" w:rsidP="00384F42"/>
    <w:p w:rsidR="00384F42" w:rsidRPr="00384F42" w:rsidRDefault="00384F42" w:rsidP="00384F42">
      <w:r w:rsidRPr="00384F42">
        <w:t xml:space="preserve">Táto smernica nadobúda účinnosť 30.01.2024 </w:t>
      </w:r>
    </w:p>
    <w:p w:rsidR="00384F42" w:rsidRPr="00384F42" w:rsidRDefault="00384F42" w:rsidP="00384F42"/>
    <w:p w:rsidR="00384F42" w:rsidRPr="00384F42" w:rsidRDefault="00384F42" w:rsidP="00384F42"/>
    <w:p w:rsidR="00384F42" w:rsidRPr="00384F42" w:rsidRDefault="00384F42" w:rsidP="00384F42"/>
    <w:p w:rsidR="00384F42" w:rsidRPr="00384F42" w:rsidRDefault="00384F42" w:rsidP="00384F42"/>
    <w:p w:rsidR="00384F42" w:rsidRPr="00384F42" w:rsidRDefault="00384F42" w:rsidP="00384F42">
      <w:r w:rsidRPr="00384F42">
        <w:tab/>
      </w:r>
      <w:r w:rsidRPr="00384F42">
        <w:tab/>
      </w:r>
      <w:r w:rsidRPr="00384F42">
        <w:tab/>
      </w:r>
      <w:r w:rsidRPr="00384F42">
        <w:tab/>
      </w:r>
      <w:r w:rsidRPr="00384F42">
        <w:tab/>
      </w:r>
      <w:r w:rsidRPr="00384F42">
        <w:tab/>
      </w:r>
      <w:r w:rsidRPr="00384F42">
        <w:tab/>
      </w:r>
    </w:p>
    <w:p w:rsidR="00384F42" w:rsidRPr="00384F42" w:rsidRDefault="00384F42" w:rsidP="00384F42">
      <w:r w:rsidRPr="00384F42">
        <w:tab/>
      </w:r>
      <w:r w:rsidRPr="00384F42">
        <w:tab/>
      </w:r>
      <w:r w:rsidRPr="00384F42">
        <w:tab/>
      </w:r>
      <w:r w:rsidRPr="00384F42">
        <w:tab/>
      </w:r>
      <w:r w:rsidRPr="00384F42">
        <w:tab/>
      </w:r>
      <w:r w:rsidRPr="00384F42">
        <w:tab/>
      </w:r>
      <w:r w:rsidRPr="00384F42">
        <w:tab/>
      </w:r>
      <w:proofErr w:type="spellStart"/>
      <w:r w:rsidRPr="00384F42">
        <w:t>Mgr.Iveta</w:t>
      </w:r>
      <w:proofErr w:type="spellEnd"/>
      <w:r w:rsidRPr="00384F42">
        <w:t xml:space="preserve"> </w:t>
      </w:r>
      <w:proofErr w:type="spellStart"/>
      <w:r w:rsidRPr="00384F42">
        <w:t>Setváková</w:t>
      </w:r>
      <w:proofErr w:type="spellEnd"/>
    </w:p>
    <w:p w:rsidR="00384F42" w:rsidRPr="00384F42" w:rsidRDefault="00384F42" w:rsidP="00384F42">
      <w:r w:rsidRPr="00384F42">
        <w:tab/>
      </w:r>
      <w:r w:rsidRPr="00384F42">
        <w:tab/>
      </w:r>
      <w:r w:rsidRPr="00384F42">
        <w:tab/>
      </w:r>
      <w:r w:rsidRPr="00384F42">
        <w:tab/>
      </w:r>
      <w:r w:rsidRPr="00384F42">
        <w:tab/>
      </w:r>
      <w:r w:rsidRPr="00384F42">
        <w:tab/>
      </w:r>
      <w:r w:rsidRPr="00384F42">
        <w:tab/>
        <w:t xml:space="preserve">      riaditeľ školy</w:t>
      </w:r>
    </w:p>
    <w:p w:rsidR="00384F42" w:rsidRPr="00384F42" w:rsidRDefault="00384F42" w:rsidP="00384F42"/>
    <w:p w:rsidR="00384F42" w:rsidRPr="00384F42" w:rsidRDefault="00384F42" w:rsidP="00384F42"/>
    <w:p w:rsidR="00384F42" w:rsidRPr="00384F42" w:rsidRDefault="00384F42" w:rsidP="00384F42"/>
    <w:p w:rsidR="00384F42" w:rsidRPr="00384F42" w:rsidRDefault="00384F42" w:rsidP="00384F42"/>
    <w:p w:rsidR="00384F42" w:rsidRPr="00384F42" w:rsidRDefault="00384F42" w:rsidP="00384F42"/>
    <w:p w:rsidR="00384F42" w:rsidRPr="00384F42" w:rsidRDefault="00384F42" w:rsidP="00384F42"/>
    <w:p w:rsidR="00384F42" w:rsidRPr="00384F42" w:rsidRDefault="00384F42" w:rsidP="00384F42"/>
    <w:p w:rsidR="00384F42" w:rsidRPr="00384F42" w:rsidRDefault="00384F42" w:rsidP="00384F42"/>
    <w:p w:rsidR="00384F42" w:rsidRPr="00384F42" w:rsidRDefault="00384F42" w:rsidP="00384F42"/>
    <w:p w:rsidR="00384F42" w:rsidRPr="00384F42" w:rsidRDefault="00384F42" w:rsidP="00384F42"/>
    <w:p w:rsidR="00384F42" w:rsidRPr="00384F42" w:rsidRDefault="00384F42" w:rsidP="00384F42"/>
    <w:p w:rsidR="00384F42" w:rsidRPr="00384F42" w:rsidRDefault="00384F42" w:rsidP="00384F42"/>
    <w:p w:rsidR="00384F42" w:rsidRPr="00384F42" w:rsidRDefault="00384F42" w:rsidP="00384F42"/>
    <w:p w:rsidR="00384F42" w:rsidRPr="00384F42" w:rsidRDefault="00384F42" w:rsidP="00384F42"/>
    <w:p w:rsidR="005A439E" w:rsidRDefault="005A439E">
      <w:bookmarkStart w:id="18" w:name="_GoBack"/>
      <w:bookmarkEnd w:id="18"/>
    </w:p>
    <w:sectPr w:rsidR="005A439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AAA" w:rsidRDefault="00CB2AAA" w:rsidP="00384F42">
      <w:pPr>
        <w:spacing w:after="0" w:line="240" w:lineRule="auto"/>
      </w:pPr>
      <w:r>
        <w:separator/>
      </w:r>
    </w:p>
  </w:endnote>
  <w:endnote w:type="continuationSeparator" w:id="0">
    <w:p w:rsidR="00CB2AAA" w:rsidRDefault="00CB2AAA" w:rsidP="00384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AAA" w:rsidRDefault="00CB2AAA" w:rsidP="00384F42">
      <w:pPr>
        <w:spacing w:after="0" w:line="240" w:lineRule="auto"/>
      </w:pPr>
      <w:r>
        <w:separator/>
      </w:r>
    </w:p>
  </w:footnote>
  <w:footnote w:type="continuationSeparator" w:id="0">
    <w:p w:rsidR="00CB2AAA" w:rsidRDefault="00CB2AAA" w:rsidP="00384F42">
      <w:pPr>
        <w:spacing w:after="0" w:line="240" w:lineRule="auto"/>
      </w:pPr>
      <w:r>
        <w:continuationSeparator/>
      </w:r>
    </w:p>
  </w:footnote>
  <w:footnote w:id="1">
    <w:p w:rsidR="00384F42" w:rsidRDefault="00384F42" w:rsidP="00384F42">
      <w:pPr>
        <w:pStyle w:val="Textpoznmkypodiarou"/>
        <w:jc w:val="both"/>
        <w:rPr>
          <w:rFonts w:ascii="Arial" w:hAnsi="Arial" w:cs="Arial"/>
          <w:sz w:val="18"/>
          <w:szCs w:val="18"/>
        </w:rPr>
      </w:pPr>
      <w:r>
        <w:rPr>
          <w:rStyle w:val="Odkaznapoznmkupodiarou"/>
        </w:rPr>
        <w:footnoteRef/>
      </w:r>
      <w:r>
        <w:t xml:space="preserve">) </w:t>
      </w:r>
      <w:r>
        <w:rPr>
          <w:rFonts w:ascii="Arial" w:hAnsi="Arial" w:cs="Arial"/>
          <w:sz w:val="18"/>
          <w:szCs w:val="18"/>
        </w:rPr>
        <w:t>Nariadenie Európskeho parlamentu a Rady (EÚ) č. 2016/679 o ochrane fyzických osôb pri spracúvaní osobných údajov a o voľnom pohybe takýchto údajov, ktorým sa zrušuje smernica 95/46/ES (všeobecné nariadenie o ochrane údajov) zo dňa 27. apríla 2016 a zákon č. 18/2018 Z. z. o ochrane osobných údajov v znení neskorších predpisov.</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417D4"/>
    <w:multiLevelType w:val="hybridMultilevel"/>
    <w:tmpl w:val="F9B2D4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7154F7E"/>
    <w:multiLevelType w:val="hybridMultilevel"/>
    <w:tmpl w:val="90AE0EE6"/>
    <w:lvl w:ilvl="0" w:tplc="041B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26C649F"/>
    <w:multiLevelType w:val="hybridMultilevel"/>
    <w:tmpl w:val="F9B2D4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13653F7C"/>
    <w:multiLevelType w:val="hybridMultilevel"/>
    <w:tmpl w:val="191A697A"/>
    <w:lvl w:ilvl="0" w:tplc="041B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1EE85B26"/>
    <w:multiLevelType w:val="hybridMultilevel"/>
    <w:tmpl w:val="F9B2D41A"/>
    <w:lvl w:ilvl="0" w:tplc="FFFFFFFF">
      <w:start w:val="1"/>
      <w:numFmt w:val="decimal"/>
      <w:lvlText w:val="(%1)"/>
      <w:lvlJc w:val="left"/>
      <w:pPr>
        <w:ind w:left="786"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21933C24"/>
    <w:multiLevelType w:val="hybridMultilevel"/>
    <w:tmpl w:val="D1D68BFC"/>
    <w:lvl w:ilvl="0" w:tplc="041B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251F4B58"/>
    <w:multiLevelType w:val="hybridMultilevel"/>
    <w:tmpl w:val="F06CEB8C"/>
    <w:lvl w:ilvl="0" w:tplc="3F8A1A80">
      <w:start w:val="1"/>
      <w:numFmt w:val="decimal"/>
      <w:lvlText w:val="(%1)"/>
      <w:lvlJc w:val="left"/>
      <w:pPr>
        <w:ind w:left="564" w:hanging="564"/>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7" w15:restartNumberingAfterBreak="0">
    <w:nsid w:val="26182928"/>
    <w:multiLevelType w:val="hybridMultilevel"/>
    <w:tmpl w:val="2CB0B52C"/>
    <w:lvl w:ilvl="0" w:tplc="041B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27EB0F99"/>
    <w:multiLevelType w:val="hybridMultilevel"/>
    <w:tmpl w:val="9E20BE3C"/>
    <w:lvl w:ilvl="0" w:tplc="041B0017">
      <w:start w:val="1"/>
      <w:numFmt w:val="lowerLetter"/>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2AED044D"/>
    <w:multiLevelType w:val="hybridMultilevel"/>
    <w:tmpl w:val="1D5EF61A"/>
    <w:lvl w:ilvl="0" w:tplc="041B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35E264D2"/>
    <w:multiLevelType w:val="hybridMultilevel"/>
    <w:tmpl w:val="F9B2D4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39650FA1"/>
    <w:multiLevelType w:val="hybridMultilevel"/>
    <w:tmpl w:val="920C6770"/>
    <w:lvl w:ilvl="0" w:tplc="041B000F">
      <w:start w:val="1"/>
      <w:numFmt w:val="decimal"/>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12" w15:restartNumberingAfterBreak="0">
    <w:nsid w:val="39D721C6"/>
    <w:multiLevelType w:val="hybridMultilevel"/>
    <w:tmpl w:val="F9B2D4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3C6826B3"/>
    <w:multiLevelType w:val="hybridMultilevel"/>
    <w:tmpl w:val="F9B2D4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41075FD2"/>
    <w:multiLevelType w:val="hybridMultilevel"/>
    <w:tmpl w:val="2B8ABC7A"/>
    <w:lvl w:ilvl="0" w:tplc="041B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419A7104"/>
    <w:multiLevelType w:val="hybridMultilevel"/>
    <w:tmpl w:val="79CADE3E"/>
    <w:lvl w:ilvl="0" w:tplc="041B000F">
      <w:start w:val="1"/>
      <w:numFmt w:val="decimal"/>
      <w:lvlText w:val="%1."/>
      <w:lvlJc w:val="left"/>
      <w:pPr>
        <w:ind w:left="-1548" w:hanging="360"/>
      </w:pPr>
      <w:rPr>
        <w:b w:val="0"/>
        <w:bCs w:val="0"/>
      </w:rPr>
    </w:lvl>
    <w:lvl w:ilvl="1" w:tplc="FFFFFFFF">
      <w:start w:val="1"/>
      <w:numFmt w:val="lowerLetter"/>
      <w:lvlText w:val="%2."/>
      <w:lvlJc w:val="left"/>
      <w:pPr>
        <w:ind w:left="-828" w:hanging="360"/>
      </w:pPr>
    </w:lvl>
    <w:lvl w:ilvl="2" w:tplc="FFFFFFFF">
      <w:start w:val="1"/>
      <w:numFmt w:val="lowerRoman"/>
      <w:lvlText w:val="%3."/>
      <w:lvlJc w:val="right"/>
      <w:pPr>
        <w:ind w:left="-108" w:hanging="180"/>
      </w:pPr>
    </w:lvl>
    <w:lvl w:ilvl="3" w:tplc="FFFFFFFF">
      <w:start w:val="1"/>
      <w:numFmt w:val="decimal"/>
      <w:lvlText w:val="%4."/>
      <w:lvlJc w:val="left"/>
      <w:pPr>
        <w:ind w:left="612" w:hanging="360"/>
      </w:pPr>
    </w:lvl>
    <w:lvl w:ilvl="4" w:tplc="FFFFFFFF">
      <w:start w:val="1"/>
      <w:numFmt w:val="lowerLetter"/>
      <w:lvlText w:val="%5."/>
      <w:lvlJc w:val="left"/>
      <w:pPr>
        <w:ind w:left="1332" w:hanging="360"/>
      </w:pPr>
    </w:lvl>
    <w:lvl w:ilvl="5" w:tplc="FFFFFFFF">
      <w:start w:val="1"/>
      <w:numFmt w:val="lowerRoman"/>
      <w:lvlText w:val="%6."/>
      <w:lvlJc w:val="right"/>
      <w:pPr>
        <w:ind w:left="2052" w:hanging="180"/>
      </w:pPr>
    </w:lvl>
    <w:lvl w:ilvl="6" w:tplc="FFFFFFFF">
      <w:start w:val="1"/>
      <w:numFmt w:val="decimal"/>
      <w:lvlText w:val="%7."/>
      <w:lvlJc w:val="left"/>
      <w:pPr>
        <w:ind w:left="2772" w:hanging="360"/>
      </w:pPr>
    </w:lvl>
    <w:lvl w:ilvl="7" w:tplc="FFFFFFFF">
      <w:start w:val="1"/>
      <w:numFmt w:val="lowerLetter"/>
      <w:lvlText w:val="%8."/>
      <w:lvlJc w:val="left"/>
      <w:pPr>
        <w:ind w:left="3492" w:hanging="360"/>
      </w:pPr>
    </w:lvl>
    <w:lvl w:ilvl="8" w:tplc="FFFFFFFF">
      <w:start w:val="1"/>
      <w:numFmt w:val="lowerRoman"/>
      <w:lvlText w:val="%9."/>
      <w:lvlJc w:val="right"/>
      <w:pPr>
        <w:ind w:left="4212" w:hanging="180"/>
      </w:pPr>
    </w:lvl>
  </w:abstractNum>
  <w:abstractNum w:abstractNumId="16" w15:restartNumberingAfterBreak="0">
    <w:nsid w:val="565F5419"/>
    <w:multiLevelType w:val="hybridMultilevel"/>
    <w:tmpl w:val="88743698"/>
    <w:lvl w:ilvl="0" w:tplc="041B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597C354D"/>
    <w:multiLevelType w:val="hybridMultilevel"/>
    <w:tmpl w:val="66928D82"/>
    <w:lvl w:ilvl="0" w:tplc="041B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70E147A3"/>
    <w:multiLevelType w:val="hybridMultilevel"/>
    <w:tmpl w:val="B15C9010"/>
    <w:lvl w:ilvl="0" w:tplc="9708B784">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19" w15:restartNumberingAfterBreak="0">
    <w:nsid w:val="759C2DE4"/>
    <w:multiLevelType w:val="hybridMultilevel"/>
    <w:tmpl w:val="F9B2D4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42"/>
    <w:rsid w:val="00384F42"/>
    <w:rsid w:val="005A439E"/>
    <w:rsid w:val="00CB2AA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F9B570-7EA4-408C-8FA4-A34CBDF20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384F4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384F42"/>
    <w:rPr>
      <w:sz w:val="20"/>
      <w:szCs w:val="20"/>
    </w:rPr>
  </w:style>
  <w:style w:type="character" w:styleId="Odkaznapoznmkupodiarou">
    <w:name w:val="footnote reference"/>
    <w:uiPriority w:val="99"/>
    <w:semiHidden/>
    <w:unhideWhenUsed/>
    <w:rsid w:val="00384F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98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3314</Words>
  <Characters>18892</Characters>
  <Application>Microsoft Office Word</Application>
  <DocSecurity>0</DocSecurity>
  <Lines>157</Lines>
  <Paragraphs>44</Paragraphs>
  <ScaleCrop>false</ScaleCrop>
  <HeadingPairs>
    <vt:vector size="2" baseType="variant">
      <vt:variant>
        <vt:lpstr>Názov</vt:lpstr>
      </vt:variant>
      <vt:variant>
        <vt:i4>1</vt:i4>
      </vt:variant>
    </vt:vector>
  </HeadingPairs>
  <TitlesOfParts>
    <vt:vector size="1" baseType="lpstr">
      <vt:lpstr/>
    </vt:vector>
  </TitlesOfParts>
  <Company>OUI</Company>
  <LinksUpToDate>false</LinksUpToDate>
  <CharactersWithSpaces>22162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OUI</dc:creator>
  <cp:keywords/>
  <dc:description/>
  <cp:lastModifiedBy>OUI</cp:lastModifiedBy>
  <cp:revision>1</cp:revision>
  <dcterms:created xsi:type="dcterms:W3CDTF">2024-01-30T07:37:00Z</dcterms:created>
  <dcterms:modified xsi:type="dcterms:W3CDTF">2024-01-30T07:38:00Z</dcterms:modified>
</cp:coreProperties>
</file>