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9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32"/>
          <w:szCs w:val="32"/>
          <w:lang w:eastAsia="sk-SK"/>
        </w:rPr>
      </w:pPr>
      <w:r>
        <w:rPr>
          <w:rFonts w:eastAsia="Times New Roman" w:cs="Calibri"/>
          <w:b/>
          <w:bCs/>
          <w:sz w:val="32"/>
          <w:szCs w:val="32"/>
          <w:lang w:eastAsia="sk-SK"/>
        </w:rPr>
        <w:t>Dotazník drogovej prevencie - vyhodnotenie</w:t>
      </w:r>
    </w:p>
    <w:p>
      <w:pPr>
        <w:pStyle w:val="Normal"/>
        <w:spacing w:lineRule="auto" w:line="240"/>
        <w:rPr>
          <w:rFonts w:ascii="Calibri" w:hAnsi="Calibri" w:eastAsia="Times New Roman" w:cs="Calibri"/>
          <w:i/>
          <w:i/>
          <w:lang w:eastAsia="sk-SK"/>
        </w:rPr>
      </w:pPr>
      <w:r>
        <w:rPr>
          <w:rFonts w:eastAsia="Times New Roman" w:cs="Calibri"/>
          <w:i/>
          <w:lang w:eastAsia="sk-SK"/>
        </w:rPr>
        <w:t xml:space="preserve">Dotazník vyplnilo 35 žiakov.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rPr>
          <w:rFonts w:ascii="Calibri" w:hAnsi="Calibri" w:eastAsia="Times New Roman" w:cs="Calibri"/>
          <w:b/>
          <w:b/>
          <w:lang w:eastAsia="sk-SK"/>
        </w:rPr>
      </w:pPr>
      <w:r>
        <w:rPr>
          <w:rFonts w:eastAsia="Times New Roman" w:cs="Calibri"/>
          <w:b/>
          <w:bCs/>
          <w:lang w:eastAsia="sk-SK"/>
        </w:rPr>
        <w:t>Ktorá droga patrí medzi nelegálne drogy na Slovensku?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Calibri"/>
          <w:lang w:eastAsia="sk-SK"/>
        </w:rPr>
        <w:t xml:space="preserve">nikotín neoznačil nikto, 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Calibri"/>
          <w:lang w:eastAsia="sk-SK"/>
        </w:rPr>
        <w:t xml:space="preserve">alkohol označil 1 žiak, teda 2,9 %, 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Calibri"/>
          <w:lang w:eastAsia="sk-SK"/>
        </w:rPr>
        <w:t xml:space="preserve">lieky (sedatíva) neoznačil nikto, 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Calibri"/>
          <w:lang w:eastAsia="sk-SK"/>
        </w:rPr>
        <w:t>marihuanu označilo 34 žiakov, čo predstavuje 97,1 %.</w:t>
      </w:r>
    </w:p>
    <w:p>
      <w:pPr>
        <w:pStyle w:val="ListParagraph"/>
        <w:spacing w:before="0" w:after="0"/>
        <w:ind w:left="1077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spacing w:before="0" w:after="0"/>
        <w:ind w:left="1077" w:hanging="0"/>
        <w:rPr>
          <w:rFonts w:ascii="Times New Roman" w:hAnsi="Times New Roman" w:eastAsia="Times New Roman" w:cs="Times New Roman"/>
          <w:lang w:eastAsia="sk-SK"/>
        </w:rPr>
      </w:pPr>
      <w:r>
        <w:rPr/>
        <w:drawing>
          <wp:inline distT="0" distB="0" distL="0" distR="0">
            <wp:extent cx="4572000" cy="263652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ListParagraph"/>
        <w:spacing w:before="0" w:after="0"/>
        <w:ind w:left="1077" w:hanging="0"/>
        <w:rPr>
          <w:rFonts w:ascii="Times New Roman" w:hAnsi="Times New Roman" w:eastAsia="Times New Roman" w:cs="Times New Roman"/>
          <w:i/>
          <w:i/>
          <w:lang w:eastAsia="sk-SK"/>
        </w:rPr>
      </w:pPr>
      <w:r>
        <w:rPr>
          <w:rFonts w:eastAsia="Times New Roman" w:cs="Times New Roman" w:ascii="Times New Roman" w:hAnsi="Times New Roman"/>
          <w:i/>
          <w:lang w:eastAsia="sk-SK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alibri" w:hAnsi="Calibri" w:eastAsia="Times New Roman" w:cs="Calibri"/>
          <w:b/>
          <w:b/>
          <w:bCs/>
          <w:lang w:eastAsia="sk-SK"/>
        </w:rPr>
      </w:pPr>
      <w:r>
        <w:rPr>
          <w:rFonts w:eastAsia="Times New Roman" w:cs="Calibri"/>
          <w:b/>
          <w:bCs/>
          <w:lang w:eastAsia="sk-SK"/>
        </w:rPr>
        <w:t>Ako sa prejavuje drogová závislosť?</w:t>
      </w:r>
    </w:p>
    <w:p>
      <w:pPr>
        <w:pStyle w:val="ListParagraph"/>
        <w:numPr>
          <w:ilvl w:val="0"/>
          <w:numId w:val="3"/>
        </w:numPr>
        <w:spacing w:before="0" w:after="0"/>
        <w:ind w:left="1134" w:hanging="357"/>
        <w:rPr>
          <w:rFonts w:ascii="Calibri" w:hAnsi="Calibri" w:eastAsia="Times New Roman" w:cs="Calibri"/>
          <w:b/>
          <w:b/>
          <w:bCs/>
          <w:lang w:eastAsia="sk-SK"/>
        </w:rPr>
      </w:pPr>
      <w:r>
        <w:rPr>
          <w:rFonts w:eastAsia="Times New Roman" w:cs="Calibri"/>
          <w:lang w:eastAsia="sk-SK"/>
        </w:rPr>
        <w:t>možnosť prehnanou aktivitou, veselosťou a príjemnými pocitmi označili 10 žiaci, čo predstavuje 28,6  %,</w:t>
      </w:r>
    </w:p>
    <w:p>
      <w:pPr>
        <w:pStyle w:val="ListParagraph"/>
        <w:numPr>
          <w:ilvl w:val="0"/>
          <w:numId w:val="3"/>
        </w:numPr>
        <w:spacing w:before="0" w:after="0"/>
        <w:ind w:left="1134" w:hanging="357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Calibri"/>
          <w:lang w:eastAsia="sk-SK"/>
        </w:rPr>
        <w:t>možnosť nepríjemnými pocitmi, nervozitou, agresivitou označilo 20 žiakov, čo predstavuje 57,1 %,</w:t>
      </w:r>
    </w:p>
    <w:p>
      <w:pPr>
        <w:pStyle w:val="ListParagraph"/>
        <w:numPr>
          <w:ilvl w:val="0"/>
          <w:numId w:val="3"/>
        </w:numPr>
        <w:spacing w:before="0" w:after="0"/>
        <w:ind w:left="1134" w:hanging="357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Calibri"/>
          <w:lang w:eastAsia="sk-SK"/>
        </w:rPr>
        <w:t>možnosť nevie označili 5 žiaci, teda 14,3 %.</w:t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/>
        <w:drawing>
          <wp:inline distT="0" distB="0" distL="0" distR="0">
            <wp:extent cx="4869180" cy="263652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spacing w:before="0" w:after="0"/>
        <w:ind w:left="1134" w:hanging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ListParagraph"/>
        <w:numPr>
          <w:ilvl w:val="0"/>
          <w:numId w:val="1"/>
        </w:numPr>
        <w:rPr>
          <w:rFonts w:eastAsia="Times New Roman" w:cs="Calibri" w:cstheme="minorHAnsi"/>
          <w:b/>
          <w:b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  <w:t>Máš osobnú skúsenosť s drogami? Ak áno, s akými?</w:t>
      </w:r>
    </w:p>
    <w:p>
      <w:pPr>
        <w:pStyle w:val="ListParagraph"/>
        <w:numPr>
          <w:ilvl w:val="0"/>
          <w:numId w:val="2"/>
        </w:numPr>
        <w:ind w:left="1134" w:hanging="360"/>
        <w:rPr>
          <w:rFonts w:eastAsia="Times New Roman" w:cs="Calibri" w:cstheme="minorHAnsi"/>
          <w:b/>
          <w:b/>
          <w:lang w:eastAsia="sk-SK"/>
        </w:rPr>
      </w:pPr>
      <w:r>
        <w:rPr>
          <w:rFonts w:eastAsia="Times New Roman" w:cs="Calibri" w:cstheme="minorHAnsi"/>
          <w:lang w:eastAsia="sk-SK"/>
        </w:rPr>
        <w:t>s alkoholom majú osobné skúsenosti 2 žiaci, čo predstavuje 5,7 %,</w:t>
      </w:r>
    </w:p>
    <w:p>
      <w:pPr>
        <w:pStyle w:val="ListParagraph"/>
        <w:numPr>
          <w:ilvl w:val="0"/>
          <w:numId w:val="2"/>
        </w:numPr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 xml:space="preserve">cigarety už vyskúšali 4 žiaci, čo predstavuje 11,4 %, </w:t>
      </w:r>
    </w:p>
    <w:p>
      <w:pPr>
        <w:pStyle w:val="ListParagraph"/>
        <w:numPr>
          <w:ilvl w:val="0"/>
          <w:numId w:val="2"/>
        </w:numPr>
        <w:ind w:left="1134" w:hanging="360"/>
        <w:rPr>
          <w:rFonts w:eastAsia="Times New Roman" w:cs="Calibri" w:cstheme="minorHAnsi"/>
          <w:i/>
          <w:i/>
          <w:lang w:eastAsia="sk-SK"/>
        </w:rPr>
      </w:pPr>
      <w:r>
        <w:rPr>
          <w:rFonts w:eastAsia="Times New Roman" w:cs="Calibri" w:cstheme="minorHAnsi"/>
          <w:lang w:eastAsia="sk-SK"/>
        </w:rPr>
        <w:t xml:space="preserve">viac druhov drog vyskúšali 3 žiaci, teda 8,6 % </w:t>
      </w:r>
      <w:r>
        <w:rPr>
          <w:rFonts w:eastAsia="Times New Roman" w:cs="Calibri" w:cstheme="minorHAnsi"/>
          <w:i/>
          <w:lang w:eastAsia="sk-SK"/>
        </w:rPr>
        <w:t>(alkohol a cigarety – 1 žiak, alkohol a žuvací tabak – 1 žiak, cigarety a marihuanu – 1 žiak)</w:t>
      </w:r>
    </w:p>
    <w:p>
      <w:pPr>
        <w:pStyle w:val="ListParagraph"/>
        <w:numPr>
          <w:ilvl w:val="0"/>
          <w:numId w:val="2"/>
        </w:numPr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žiadnu skúsenosť s drogami označilo 26 žiakov, čo predstavuje 74,3 %.</w:t>
      </w:r>
    </w:p>
    <w:p>
      <w:pPr>
        <w:pStyle w:val="ListParagraph"/>
        <w:ind w:left="1134" w:hanging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ListParagraph"/>
        <w:ind w:left="1134" w:hanging="0"/>
        <w:rPr>
          <w:rFonts w:eastAsia="Times New Roman" w:cs="Calibri" w:cstheme="minorHAnsi"/>
          <w:lang w:eastAsia="sk-SK"/>
        </w:rPr>
      </w:pPr>
      <w:r>
        <w:rPr/>
        <w:drawing>
          <wp:inline distT="0" distB="0" distL="0" distR="0">
            <wp:extent cx="4572000" cy="263652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 w:cs="Calibri" w:cstheme="minorHAnsi"/>
          <w:b/>
          <w:b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  <w:t>Ak si siahol po droge, prečo?</w:t>
      </w:r>
    </w:p>
    <w:p>
      <w:pPr>
        <w:pStyle w:val="ListParagraph"/>
        <w:numPr>
          <w:ilvl w:val="0"/>
          <w:numId w:val="5"/>
        </w:numPr>
        <w:spacing w:before="0" w:after="0"/>
        <w:rPr>
          <w:rFonts w:eastAsia="Times New Roman" w:cs="Calibri" w:cstheme="minorHAnsi"/>
          <w:b/>
          <w:b/>
          <w:lang w:eastAsia="sk-SK"/>
        </w:rPr>
      </w:pPr>
      <w:r>
        <w:rPr>
          <w:rFonts w:eastAsia="Times New Roman" w:cs="Calibri" w:cstheme="minorHAnsi"/>
          <w:lang w:eastAsia="sk-SK"/>
        </w:rPr>
        <w:t>zlepšiť si náladu označil 1 žiak, teda 2,9 %,</w:t>
      </w:r>
    </w:p>
    <w:p>
      <w:pPr>
        <w:pStyle w:val="ListParagraph"/>
        <w:numPr>
          <w:ilvl w:val="0"/>
          <w:numId w:val="5"/>
        </w:numPr>
        <w:spacing w:before="0" w:after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vyriešiť problém neoznačil nikto,</w:t>
      </w:r>
    </w:p>
    <w:p>
      <w:pPr>
        <w:pStyle w:val="ListParagraph"/>
        <w:numPr>
          <w:ilvl w:val="0"/>
          <w:numId w:val="5"/>
        </w:numPr>
        <w:spacing w:before="0" w:after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chcel som skúsiť, čo to so mnou urobí označili 6 žiaci, teda 17,1 %,</w:t>
      </w:r>
    </w:p>
    <w:p>
      <w:pPr>
        <w:pStyle w:val="ListParagraph"/>
        <w:numPr>
          <w:ilvl w:val="0"/>
          <w:numId w:val="5"/>
        </w:numPr>
        <w:spacing w:before="0" w:after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nudil som sa označili 2 žiaci, teda 5,7 %,</w:t>
      </w:r>
    </w:p>
    <w:p>
      <w:pPr>
        <w:pStyle w:val="ListParagraph"/>
        <w:numPr>
          <w:ilvl w:val="0"/>
          <w:numId w:val="5"/>
        </w:numPr>
        <w:spacing w:before="0" w:after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nemám skúsenosti s drogami označilo 26 žiakov, čo predstavuje 74,3 %.</w:t>
      </w:r>
    </w:p>
    <w:p>
      <w:pPr>
        <w:pStyle w:val="ListParagraph"/>
        <w:spacing w:before="0" w:after="0"/>
        <w:ind w:left="1146" w:hanging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ListParagraph"/>
        <w:spacing w:before="0" w:after="0"/>
        <w:ind w:left="1146" w:hanging="0"/>
        <w:rPr>
          <w:rFonts w:eastAsia="Times New Roman" w:cs="Calibri" w:cstheme="minorHAnsi"/>
          <w:lang w:eastAsia="sk-SK"/>
        </w:rPr>
      </w:pPr>
      <w:r>
        <w:rPr/>
        <w:drawing>
          <wp:inline distT="0" distB="0" distL="0" distR="0">
            <wp:extent cx="4617720" cy="263652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ListParagraph"/>
        <w:spacing w:before="0" w:after="0"/>
        <w:ind w:left="1146" w:hanging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eastAsia="Times New Roman" w:cs="Calibri" w:cstheme="minorHAnsi"/>
          <w:b/>
          <w:b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  <w:t>Ak si skúsil niektorú drogu, kto Ti ju prvýkrát ponúkol alebo inak zaobstaral?</w:t>
      </w:r>
    </w:p>
    <w:p>
      <w:pPr>
        <w:pStyle w:val="ListParagraph"/>
        <w:numPr>
          <w:ilvl w:val="1"/>
          <w:numId w:val="6"/>
        </w:numPr>
        <w:spacing w:before="0" w:after="0"/>
        <w:ind w:left="993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kamaráta označili 5 žiaci, čo predstavuje 14,3 %,</w:t>
      </w:r>
    </w:p>
    <w:p>
      <w:pPr>
        <w:pStyle w:val="ListParagraph"/>
        <w:numPr>
          <w:ilvl w:val="1"/>
          <w:numId w:val="6"/>
        </w:numPr>
        <w:spacing w:before="0" w:after="0"/>
        <w:ind w:left="993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kúpil som si ju sám neoznačil nikto zo žiakov,</w:t>
      </w:r>
    </w:p>
    <w:p>
      <w:pPr>
        <w:pStyle w:val="ListParagraph"/>
        <w:numPr>
          <w:ilvl w:val="1"/>
          <w:numId w:val="6"/>
        </w:numPr>
        <w:spacing w:before="0" w:after="0"/>
        <w:ind w:left="993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iným spôsobom sa k droge dostali 4 žiaci, čo predstavuje 11,4 %,</w:t>
      </w:r>
    </w:p>
    <w:p>
      <w:pPr>
        <w:pStyle w:val="ListParagraph"/>
        <w:numPr>
          <w:ilvl w:val="1"/>
          <w:numId w:val="6"/>
        </w:numPr>
        <w:spacing w:before="0" w:after="0"/>
        <w:ind w:left="993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neskúsili žiadnu drogu 26 žiaci, čo predstavuje 74,3 %.</w:t>
      </w:r>
    </w:p>
    <w:p>
      <w:pPr>
        <w:pStyle w:val="ListParagraph"/>
        <w:spacing w:before="0" w:after="0"/>
        <w:ind w:left="993" w:hanging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ListParagraph"/>
        <w:spacing w:before="0" w:after="0"/>
        <w:ind w:left="993" w:hanging="0"/>
        <w:rPr>
          <w:rFonts w:eastAsia="Times New Roman" w:cs="Calibri" w:cstheme="minorHAnsi"/>
          <w:lang w:eastAsia="sk-SK"/>
        </w:rPr>
      </w:pPr>
      <w:r>
        <w:rPr/>
        <w:drawing>
          <wp:inline distT="0" distB="0" distL="0" distR="0">
            <wp:extent cx="4572000" cy="263652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ListParagraph"/>
        <w:spacing w:before="0" w:after="0"/>
        <w:ind w:left="993" w:hanging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 w:cs="Calibri" w:cstheme="minorHAnsi"/>
          <w:b/>
          <w:b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  <w:t>Kde podľa Teba najčastejšie prichádzajú mladí ľudia do kontaktu s drogami?</w:t>
      </w:r>
    </w:p>
    <w:p>
      <w:pPr>
        <w:pStyle w:val="ListParagraph"/>
        <w:numPr>
          <w:ilvl w:val="1"/>
          <w:numId w:val="7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 xml:space="preserve">partiu kamarátov označili 14 žiaci, čo predstavuje 40,0 %, </w:t>
      </w:r>
    </w:p>
    <w:p>
      <w:pPr>
        <w:pStyle w:val="ListParagraph"/>
        <w:numPr>
          <w:ilvl w:val="1"/>
          <w:numId w:val="7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 xml:space="preserve">diskotéku označili 9 žiaci, čo predstavuje 25,7 %, </w:t>
      </w:r>
    </w:p>
    <w:p>
      <w:pPr>
        <w:pStyle w:val="ListParagraph"/>
        <w:numPr>
          <w:ilvl w:val="1"/>
          <w:numId w:val="7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internet označili 2 žiaci, teda 5,7 %,</w:t>
      </w:r>
    </w:p>
    <w:p>
      <w:pPr>
        <w:pStyle w:val="ListParagraph"/>
        <w:numPr>
          <w:ilvl w:val="1"/>
          <w:numId w:val="7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inde označili 8 žiaci, čo predstavuje 22,9 %,</w:t>
      </w:r>
    </w:p>
    <w:p>
      <w:pPr>
        <w:pStyle w:val="ListParagraph"/>
        <w:numPr>
          <w:ilvl w:val="1"/>
          <w:numId w:val="7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žiadnu odpoveď neoznačili 2 žiaci, teda 5,7 %.</w:t>
      </w:r>
    </w:p>
    <w:p>
      <w:pPr>
        <w:pStyle w:val="ListParagraph"/>
        <w:spacing w:before="0" w:after="0"/>
        <w:ind w:left="1134" w:hanging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ListParagraph"/>
        <w:spacing w:before="0" w:after="0"/>
        <w:ind w:left="1134" w:hanging="0"/>
        <w:rPr>
          <w:rFonts w:eastAsia="Times New Roman" w:cs="Calibri" w:cstheme="minorHAnsi"/>
          <w:lang w:eastAsia="sk-SK"/>
        </w:rPr>
      </w:pPr>
      <w:r>
        <w:rPr/>
        <w:drawing>
          <wp:inline distT="0" distB="0" distL="0" distR="0">
            <wp:extent cx="4617720" cy="263652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spacing w:before="0" w:after="0"/>
        <w:ind w:left="720" w:hanging="0"/>
        <w:rPr>
          <w:rFonts w:eastAsia="Times New Roman" w:cs="Calibri" w:cstheme="minorHAnsi"/>
          <w:b/>
          <w:b/>
          <w:bCs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eastAsia="Times New Roman" w:cs="Calibri" w:cstheme="minorHAnsi"/>
          <w:b/>
          <w:b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  <w:t>Bol si už niekedy opitý/á?</w:t>
      </w:r>
    </w:p>
    <w:p>
      <w:pPr>
        <w:pStyle w:val="ListParagraph"/>
        <w:numPr>
          <w:ilvl w:val="1"/>
          <w:numId w:val="8"/>
        </w:numPr>
        <w:spacing w:before="0" w:after="0"/>
        <w:ind w:left="993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ÁNO označili 2 žiaci, čo predstavuje 5,7 %,</w:t>
      </w:r>
    </w:p>
    <w:p>
      <w:pPr>
        <w:pStyle w:val="ListParagraph"/>
        <w:numPr>
          <w:ilvl w:val="1"/>
          <w:numId w:val="8"/>
        </w:numPr>
        <w:spacing w:before="0" w:after="0"/>
        <w:ind w:left="993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NIE označilo 31 žiakov, čo predstavuje 88,6 %,</w:t>
      </w:r>
    </w:p>
    <w:p>
      <w:pPr>
        <w:pStyle w:val="ListParagraph"/>
        <w:numPr>
          <w:ilvl w:val="1"/>
          <w:numId w:val="8"/>
        </w:numPr>
        <w:spacing w:before="0" w:after="0"/>
        <w:ind w:left="993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žiadnu odpoveď neoznačili 2 žiaci, teda 5,7 %.</w:t>
      </w:r>
    </w:p>
    <w:p>
      <w:pPr>
        <w:pStyle w:val="ListParagraph"/>
        <w:spacing w:before="0" w:after="0"/>
        <w:ind w:left="993" w:hanging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ListParagraph"/>
        <w:spacing w:before="0" w:after="0"/>
        <w:ind w:left="993" w:hanging="0"/>
        <w:rPr>
          <w:rFonts w:eastAsia="Times New Roman" w:cs="Calibri" w:cstheme="minorHAnsi"/>
          <w:lang w:eastAsia="sk-SK"/>
        </w:rPr>
      </w:pPr>
      <w:r>
        <w:rPr/>
        <w:drawing>
          <wp:inline distT="0" distB="0" distL="0" distR="0">
            <wp:extent cx="4572000" cy="2636520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spacing w:before="0" w:after="0"/>
        <w:ind w:left="720" w:hanging="0"/>
        <w:rPr>
          <w:rFonts w:eastAsia="Times New Roman" w:cs="Calibri" w:cstheme="minorHAnsi"/>
          <w:b/>
          <w:b/>
          <w:bCs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eastAsia="Times New Roman" w:cs="Calibri" w:cstheme="minorHAnsi"/>
          <w:b/>
          <w:b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  <w:t>Myslíš si, že drogové opojenie vyrieši problémy človeka?</w:t>
      </w:r>
    </w:p>
    <w:p>
      <w:pPr>
        <w:pStyle w:val="ListParagraph"/>
        <w:numPr>
          <w:ilvl w:val="1"/>
          <w:numId w:val="9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ÁNO si myslia 4 žiaci, čo predstavuje 11,4 %,</w:t>
      </w:r>
    </w:p>
    <w:p>
      <w:pPr>
        <w:pStyle w:val="ListParagraph"/>
        <w:numPr>
          <w:ilvl w:val="1"/>
          <w:numId w:val="9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NIE si myslí 27 žiakov, čo predstavuje 77,1 %,</w:t>
      </w:r>
    </w:p>
    <w:p>
      <w:pPr>
        <w:pStyle w:val="ListParagraph"/>
        <w:numPr>
          <w:ilvl w:val="1"/>
          <w:numId w:val="9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žiadnu odpoveď neoznačili 4 žiaci, teda 11,4 %.</w:t>
      </w:r>
    </w:p>
    <w:p>
      <w:pPr>
        <w:pStyle w:val="ListParagraph"/>
        <w:spacing w:before="0" w:after="0"/>
        <w:ind w:left="1134" w:hanging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ListParagraph"/>
        <w:spacing w:before="0" w:after="0"/>
        <w:ind w:left="1134" w:hanging="0"/>
        <w:rPr>
          <w:rFonts w:eastAsia="Times New Roman" w:cs="Calibri" w:cstheme="minorHAnsi"/>
          <w:lang w:eastAsia="sk-SK"/>
        </w:rPr>
      </w:pPr>
      <w:r>
        <w:rPr/>
        <w:drawing>
          <wp:inline distT="0" distB="0" distL="0" distR="0">
            <wp:extent cx="4617720" cy="2636520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spacing w:before="0" w:after="0"/>
        <w:ind w:left="720" w:firstLine="45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eastAsia="Times New Roman" w:cs="Calibri" w:cstheme="minorHAnsi"/>
          <w:b/>
          <w:b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  <w:t>Myslíš si, že užívanie drog, alkohol a fajčenie zabezpečí mladému človeku väčšie uznanie v partii, lebo je to znak dospelosti a sily?</w:t>
      </w:r>
    </w:p>
    <w:p>
      <w:pPr>
        <w:pStyle w:val="ListParagraph"/>
        <w:numPr>
          <w:ilvl w:val="0"/>
          <w:numId w:val="10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súhlas s týmto tvrdením uviedli 3 žiaci, čo prestavuje 8,6 %,</w:t>
      </w:r>
    </w:p>
    <w:p>
      <w:pPr>
        <w:pStyle w:val="ListParagraph"/>
        <w:numPr>
          <w:ilvl w:val="0"/>
          <w:numId w:val="10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nesúhlas uviedlo 30 žiakov, čo predstavuje 85,7 %,</w:t>
      </w:r>
    </w:p>
    <w:p>
      <w:pPr>
        <w:pStyle w:val="ListParagraph"/>
        <w:numPr>
          <w:ilvl w:val="0"/>
          <w:numId w:val="10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žiadnu odpoveď neoznačili 2 žiaci, teda 5,7 %.</w:t>
      </w:r>
    </w:p>
    <w:p>
      <w:pPr>
        <w:pStyle w:val="ListParagraph"/>
        <w:spacing w:before="0" w:after="0"/>
        <w:ind w:left="1134" w:hanging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ListParagraph"/>
        <w:spacing w:before="0" w:after="0"/>
        <w:ind w:left="1134" w:hanging="0"/>
        <w:rPr>
          <w:rFonts w:eastAsia="Times New Roman" w:cs="Calibri" w:cstheme="minorHAnsi"/>
          <w:lang w:eastAsia="sk-SK"/>
        </w:rPr>
      </w:pPr>
      <w:r>
        <w:rPr/>
        <w:drawing>
          <wp:inline distT="0" distB="0" distL="0" distR="0">
            <wp:extent cx="4572000" cy="2636520"/>
            <wp:effectExtent l="0" t="0" r="0" b="0"/>
            <wp:docPr id="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Normal"/>
        <w:spacing w:before="0" w:after="0"/>
        <w:ind w:left="720" w:hanging="0"/>
        <w:rPr>
          <w:rFonts w:eastAsia="Times New Roman" w:cs="Calibri" w:cstheme="minorHAnsi"/>
          <w:b/>
          <w:b/>
          <w:bCs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eastAsia="Times New Roman" w:cs="Calibri" w:cstheme="minorHAnsi"/>
          <w:b/>
          <w:b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  <w:t>Poznáš niekoho zo svojho okolia, kto je závislý od drog?</w:t>
      </w:r>
    </w:p>
    <w:p>
      <w:pPr>
        <w:pStyle w:val="ListParagraph"/>
        <w:numPr>
          <w:ilvl w:val="1"/>
          <w:numId w:val="11"/>
        </w:numPr>
        <w:spacing w:before="0" w:after="0"/>
        <w:ind w:left="1134" w:hanging="360"/>
        <w:rPr>
          <w:rFonts w:eastAsia="Times New Roman" w:cs="Calibri" w:cstheme="minorHAnsi"/>
          <w:b/>
          <w:b/>
          <w:lang w:eastAsia="sk-SK"/>
        </w:rPr>
      </w:pPr>
      <w:r>
        <w:rPr>
          <w:rFonts w:eastAsia="Times New Roman" w:cs="Calibri" w:cstheme="minorHAnsi"/>
          <w:lang w:eastAsia="sk-SK"/>
        </w:rPr>
        <w:t>ÁNO uviedli 14 žiaci, čo predstavuje 40,0 %,</w:t>
      </w:r>
    </w:p>
    <w:p>
      <w:pPr>
        <w:pStyle w:val="ListParagraph"/>
        <w:numPr>
          <w:ilvl w:val="1"/>
          <w:numId w:val="11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NIE uviedli 19 žiaci, čo predstavuje 54,3 %,</w:t>
      </w:r>
    </w:p>
    <w:p>
      <w:pPr>
        <w:pStyle w:val="ListParagraph"/>
        <w:numPr>
          <w:ilvl w:val="1"/>
          <w:numId w:val="11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žiadnu odpoveď neoznačili 2 žiaci, teda 5,7 %.</w:t>
      </w:r>
    </w:p>
    <w:p>
      <w:pPr>
        <w:pStyle w:val="ListParagraph"/>
        <w:spacing w:before="0" w:after="0"/>
        <w:ind w:left="1134" w:hanging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ListParagraph"/>
        <w:spacing w:before="0" w:after="0"/>
        <w:ind w:left="1134" w:hanging="0"/>
        <w:rPr>
          <w:rFonts w:eastAsia="Times New Roman" w:cs="Calibri" w:cstheme="minorHAnsi"/>
          <w:lang w:eastAsia="sk-SK"/>
        </w:rPr>
      </w:pPr>
      <w:r>
        <w:rPr/>
        <w:drawing>
          <wp:inline distT="0" distB="0" distL="0" distR="0">
            <wp:extent cx="4617720" cy="2636520"/>
            <wp:effectExtent l="0" t="0" r="0" b="0"/>
            <wp:docPr id="10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pStyle w:val="Normal"/>
        <w:spacing w:before="0" w:after="0"/>
        <w:ind w:left="720" w:firstLine="45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eastAsia="Times New Roman" w:cs="Calibri" w:cstheme="minorHAnsi"/>
          <w:b/>
          <w:b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  <w:t>Ako by si reagoval/a keby si zistil, že Tvoj kamarát/ka je závislý/á od drog?</w:t>
      </w:r>
    </w:p>
    <w:p>
      <w:pPr>
        <w:pStyle w:val="ListParagraph"/>
        <w:numPr>
          <w:ilvl w:val="1"/>
          <w:numId w:val="12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 xml:space="preserve">neriešili by to 7 žiaci, keďže je to jeho/jej život, teda 20,0 %, </w:t>
      </w:r>
    </w:p>
    <w:p>
      <w:pPr>
        <w:pStyle w:val="ListParagraph"/>
        <w:numPr>
          <w:ilvl w:val="1"/>
          <w:numId w:val="12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snažili by sa kamarátovi pomôcť 25 žiaci, čo predstavuje 71,4 %,</w:t>
      </w:r>
    </w:p>
    <w:p>
      <w:pPr>
        <w:pStyle w:val="ListParagraph"/>
        <w:numPr>
          <w:ilvl w:val="1"/>
          <w:numId w:val="12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žiadnu odpoveď neoznačili 3 žiaci, teda 8,6 %.</w:t>
      </w:r>
    </w:p>
    <w:p>
      <w:pPr>
        <w:pStyle w:val="ListParagraph"/>
        <w:spacing w:before="0" w:after="0"/>
        <w:ind w:left="1134" w:hanging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ListParagraph"/>
        <w:spacing w:before="0" w:after="0"/>
        <w:ind w:left="1134" w:hanging="0"/>
        <w:rPr>
          <w:rFonts w:eastAsia="Times New Roman" w:cs="Calibri" w:cstheme="minorHAnsi"/>
          <w:lang w:eastAsia="sk-SK"/>
        </w:rPr>
      </w:pPr>
      <w:r>
        <w:rPr/>
        <w:drawing>
          <wp:inline distT="0" distB="0" distL="0" distR="0">
            <wp:extent cx="4572000" cy="2636520"/>
            <wp:effectExtent l="0" t="0" r="0" b="0"/>
            <wp:docPr id="1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Normal"/>
        <w:spacing w:before="0" w:after="0"/>
        <w:ind w:left="720" w:hanging="0"/>
        <w:rPr>
          <w:rFonts w:eastAsia="Times New Roman" w:cs="Calibri" w:cstheme="minorHAnsi"/>
          <w:b/>
          <w:b/>
          <w:bCs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eastAsia="Times New Roman" w:cs="Calibri" w:cstheme="minorHAnsi"/>
          <w:b/>
          <w:b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  <w:t>Aká je komunikácia medzi Tebou a rodičmi?</w:t>
      </w:r>
    </w:p>
    <w:p>
      <w:pPr>
        <w:pStyle w:val="ListParagraph"/>
        <w:numPr>
          <w:ilvl w:val="1"/>
          <w:numId w:val="13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 xml:space="preserve">za výbornú ju považujú 17 žiaci, vedia sa s rodičmi porozprávať takmer o všetkom, teda 48,6 %, </w:t>
      </w:r>
    </w:p>
    <w:p>
      <w:pPr>
        <w:pStyle w:val="ListParagraph"/>
        <w:numPr>
          <w:ilvl w:val="1"/>
          <w:numId w:val="13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 xml:space="preserve">za dobrú ju považujú 9 žiaci, rodičia sa ich snažia vypočuť, teda 25,7 %, </w:t>
      </w:r>
    </w:p>
    <w:p>
      <w:pPr>
        <w:pStyle w:val="ListParagraph"/>
        <w:numPr>
          <w:ilvl w:val="1"/>
          <w:numId w:val="13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za nie veľmi dobrú ju považujú 7 žiaci, nezvyknú sa rozprávať o problémoch, teda 20,0 %,</w:t>
      </w:r>
    </w:p>
    <w:p>
      <w:pPr>
        <w:pStyle w:val="ListParagraph"/>
        <w:numPr>
          <w:ilvl w:val="1"/>
          <w:numId w:val="13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žiadnu odpoveď neoznačili 2 žiaci, teda 5,7 %.</w:t>
      </w:r>
    </w:p>
    <w:p>
      <w:pPr>
        <w:pStyle w:val="ListParagraph"/>
        <w:spacing w:before="0" w:after="0"/>
        <w:ind w:left="1134" w:hanging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ListParagraph"/>
        <w:spacing w:before="0" w:after="0"/>
        <w:ind w:left="1134" w:hanging="0"/>
        <w:rPr>
          <w:rFonts w:eastAsia="Times New Roman" w:cs="Calibri" w:cstheme="minorHAnsi"/>
          <w:lang w:eastAsia="sk-SK"/>
        </w:rPr>
      </w:pPr>
      <w:r>
        <w:rPr/>
        <w:drawing>
          <wp:inline distT="0" distB="0" distL="0" distR="0">
            <wp:extent cx="4617720" cy="2828925"/>
            <wp:effectExtent l="0" t="0" r="0" b="0"/>
            <wp:docPr id="1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Normal"/>
        <w:spacing w:before="0" w:after="0"/>
        <w:ind w:left="720" w:hanging="0"/>
        <w:rPr>
          <w:rFonts w:eastAsia="Times New Roman" w:cs="Calibri" w:cstheme="minorHAnsi"/>
          <w:b/>
          <w:b/>
          <w:bCs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eastAsia="Times New Roman" w:cs="Calibri" w:cstheme="minorHAnsi"/>
          <w:b/>
          <w:b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  <w:t>Rozprával si sa s rodičmi doma na tému drogy?</w:t>
      </w:r>
    </w:p>
    <w:p>
      <w:pPr>
        <w:pStyle w:val="ListParagraph"/>
        <w:numPr>
          <w:ilvl w:val="0"/>
          <w:numId w:val="14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ÁNO označili 15 žiaci, čo predstavuje 42,9 %,</w:t>
      </w:r>
    </w:p>
    <w:p>
      <w:pPr>
        <w:pStyle w:val="ListParagraph"/>
        <w:numPr>
          <w:ilvl w:val="0"/>
          <w:numId w:val="14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NIE označili 18 žiaci, čo predstavuje 51,4 %,</w:t>
      </w:r>
    </w:p>
    <w:p>
      <w:pPr>
        <w:pStyle w:val="ListParagraph"/>
        <w:numPr>
          <w:ilvl w:val="0"/>
          <w:numId w:val="14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žiadnu odpoveď neoznačili 2 žiaci, teda 5,7 %.</w:t>
      </w:r>
    </w:p>
    <w:p>
      <w:pPr>
        <w:pStyle w:val="ListParagraph"/>
        <w:spacing w:before="0" w:after="0"/>
        <w:ind w:left="1134" w:hanging="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ListParagraph"/>
        <w:spacing w:before="0" w:after="0"/>
        <w:ind w:left="1134" w:hanging="0"/>
        <w:rPr>
          <w:rFonts w:eastAsia="Times New Roman" w:cs="Calibri" w:cstheme="minorHAnsi"/>
          <w:lang w:eastAsia="sk-SK"/>
        </w:rPr>
      </w:pPr>
      <w:r>
        <w:rPr/>
        <w:drawing>
          <wp:inline distT="0" distB="0" distL="0" distR="0">
            <wp:extent cx="4572000" cy="2636520"/>
            <wp:effectExtent l="0" t="0" r="0" b="0"/>
            <wp:docPr id="1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pStyle w:val="ListParagraph"/>
        <w:spacing w:before="0" w:after="0"/>
        <w:ind w:left="765" w:hanging="0"/>
        <w:rPr>
          <w:rFonts w:eastAsia="Times New Roman" w:cs="Calibri" w:cstheme="minorHAnsi"/>
          <w:i/>
          <w:i/>
          <w:color w:val="FF0000"/>
          <w:lang w:eastAsia="sk-SK"/>
        </w:rPr>
      </w:pPr>
      <w:r>
        <w:rPr>
          <w:rFonts w:eastAsia="Times New Roman" w:cs="Calibri" w:cstheme="minorHAnsi"/>
          <w:i/>
          <w:color w:val="FF0000"/>
          <w:lang w:eastAsia="sk-SK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 w:cs="Calibri" w:cstheme="minorHAnsi"/>
          <w:i/>
          <w:i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  <w:t xml:space="preserve">Odkiaľ sa dozvedáš, máš informácie o drogách? </w:t>
      </w:r>
      <w:r>
        <w:rPr>
          <w:rFonts w:eastAsia="Times New Roman" w:cs="Calibri" w:cstheme="minorHAnsi"/>
          <w:bCs/>
          <w:i/>
          <w:lang w:eastAsia="sk-SK"/>
        </w:rPr>
        <w:t>(bolo možné označiť viac možností)</w:t>
      </w:r>
    </w:p>
    <w:p>
      <w:pPr>
        <w:pStyle w:val="ListParagraph"/>
        <w:numPr>
          <w:ilvl w:val="0"/>
          <w:numId w:val="15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 xml:space="preserve">školu uviedli 17 žiaci, </w:t>
      </w:r>
    </w:p>
    <w:p>
      <w:pPr>
        <w:pStyle w:val="ListParagraph"/>
        <w:numPr>
          <w:ilvl w:val="0"/>
          <w:numId w:val="15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televíziu a internet uviedlo 21 žiakov,</w:t>
      </w:r>
    </w:p>
    <w:p>
      <w:pPr>
        <w:pStyle w:val="ListParagraph"/>
        <w:numPr>
          <w:ilvl w:val="0"/>
          <w:numId w:val="15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kamarátov uviedli 8 žiaci,</w:t>
      </w:r>
    </w:p>
    <w:p>
      <w:pPr>
        <w:pStyle w:val="ListParagraph"/>
        <w:numPr>
          <w:ilvl w:val="0"/>
          <w:numId w:val="15"/>
        </w:numPr>
        <w:spacing w:before="0" w:after="0"/>
        <w:ind w:left="1134" w:hanging="360"/>
        <w:rPr>
          <w:rFonts w:eastAsia="Times New Roman" w:cs="Calibri" w:cstheme="minorHAnsi"/>
          <w:lang w:eastAsia="sk-SK"/>
        </w:rPr>
      </w:pPr>
      <w:r>
        <w:rPr>
          <w:rFonts w:eastAsia="Times New Roman" w:cs="Calibri"/>
          <w:lang w:eastAsia="sk-SK"/>
        </w:rPr>
        <w:t>rodičov uviedli 10 žiaci,</w:t>
      </w:r>
    </w:p>
    <w:p>
      <w:pPr>
        <w:pStyle w:val="ListParagraph"/>
        <w:numPr>
          <w:ilvl w:val="0"/>
          <w:numId w:val="15"/>
        </w:numPr>
        <w:spacing w:before="0" w:after="0"/>
        <w:ind w:left="1134" w:hanging="360"/>
        <w:rPr/>
      </w:pPr>
      <w:r>
        <w:rPr>
          <w:rFonts w:eastAsia="Times New Roman" w:cs="Calibri" w:cstheme="minorHAnsi"/>
          <w:lang w:eastAsia="sk-SK"/>
        </w:rPr>
        <w:t>2 žiaci neuviedli žiadnu odpoveď.</w:t>
      </w:r>
      <w:r>
        <w:rPr>
          <w:rFonts w:eastAsia="Times New Roman" w:cs="Times New Roman" w:ascii="Times New Roman" w:hAnsi="Times New Roman"/>
          <w:lang w:eastAsia="sk-SK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Výchovný poradca: Mgr. Eva Straková</w:t>
      </w:r>
    </w:p>
    <w:p>
      <w:pPr>
        <w:pStyle w:val="Normal"/>
        <w:spacing w:before="0" w:after="0"/>
        <w:jc w:val="both"/>
        <w:rPr/>
      </w:pPr>
      <w:r>
        <w:rPr/>
        <w:t>Koordinátor drogovej prevencie: RNDr. Ľubica Krišková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3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3"/>
      <w:numFmt w:val="bullet"/>
      <w:lvlText w:val="-"/>
      <w:lvlJc w:val="left"/>
      <w:pPr>
        <w:ind w:left="1077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">
    <w:lvl w:ilvl="0">
      <w:start w:val="3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3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3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lvl w:ilvl="0">
      <w:start w:val="3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b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semiHidden/>
    <w:qFormat/>
    <w:rsid w:val="009253b1"/>
    <w:rPr/>
  </w:style>
  <w:style w:type="character" w:styleId="PtaChar" w:customStyle="1">
    <w:name w:val="Päta Char"/>
    <w:basedOn w:val="DefaultParagraphFont"/>
    <w:link w:val="Pta"/>
    <w:uiPriority w:val="99"/>
    <w:semiHidden/>
    <w:qFormat/>
    <w:rsid w:val="009253b1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0707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Calibri"/>
      <w:b w:val="false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Calibri"/>
      <w:b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Times New Roman" w:hAnsi="Times New Roman" w:eastAsia="Times New Roman" w:cs="Calibri"/>
      <w:b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 w:eastAsia="Times New Roman" w:cs="Calibri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Calibri"/>
      <w:b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Calibri"/>
    </w:rPr>
  </w:style>
  <w:style w:type="character" w:styleId="ListLabel34">
    <w:name w:val="ListLabel 34"/>
    <w:qFormat/>
    <w:rPr>
      <w:rFonts w:eastAsia="Times New Roman" w:cs="Calibri"/>
    </w:rPr>
  </w:style>
  <w:style w:type="character" w:styleId="ListLabel35">
    <w:name w:val="ListLabel 35"/>
    <w:qFormat/>
    <w:rPr>
      <w:rFonts w:eastAsia="Times New Roman" w:cs="Calibri"/>
    </w:rPr>
  </w:style>
  <w:style w:type="character" w:styleId="ListLabel36">
    <w:name w:val="ListLabel 36"/>
    <w:qFormat/>
    <w:rPr>
      <w:rFonts w:eastAsia="Times New Roman" w:cs="Calibri"/>
    </w:rPr>
  </w:style>
  <w:style w:type="character" w:styleId="ListLabel37">
    <w:name w:val="ListLabel 37"/>
    <w:qFormat/>
    <w:rPr>
      <w:rFonts w:eastAsia="Times New Roman" w:cs="Calibri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Times New Roman" w:cs="Calibri"/>
      <w:b/>
    </w:rPr>
  </w:style>
  <w:style w:type="character" w:styleId="ListLabel42">
    <w:name w:val="ListLabel 42"/>
    <w:qFormat/>
    <w:rPr>
      <w:rFonts w:eastAsia="Times New Roman" w:cs="Calibri"/>
    </w:rPr>
  </w:style>
  <w:style w:type="character" w:styleId="ListLabel43">
    <w:name w:val="ListLabel 43"/>
    <w:qFormat/>
    <w:rPr>
      <w:rFonts w:eastAsia="Times New Roman" w:cs="Calibri"/>
    </w:rPr>
  </w:style>
  <w:style w:type="character" w:styleId="ListLabel44">
    <w:name w:val="ListLabel 44"/>
    <w:qFormat/>
    <w:rPr>
      <w:rFonts w:eastAsia="Times New Roman" w:cs="Calibri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eastAsia="Times New Roman" w:cs="Calibri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lavika">
    <w:name w:val="Header"/>
    <w:basedOn w:val="Normal"/>
    <w:link w:val="HlavikaChar"/>
    <w:uiPriority w:val="99"/>
    <w:semiHidden/>
    <w:unhideWhenUsed/>
    <w:rsid w:val="009253b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semiHidden/>
    <w:unhideWhenUsed/>
    <w:rsid w:val="009253b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73e7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070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chart" Target="charts/chart7.xml"/><Relationship Id="rId9" Type="http://schemas.openxmlformats.org/officeDocument/2006/relationships/chart" Target="charts/chart8.xml"/><Relationship Id="rId10" Type="http://schemas.openxmlformats.org/officeDocument/2006/relationships/chart" Target="charts/chart9.xml"/><Relationship Id="rId11" Type="http://schemas.openxmlformats.org/officeDocument/2006/relationships/chart" Target="charts/chart10.xml"/><Relationship Id="rId12" Type="http://schemas.openxmlformats.org/officeDocument/2006/relationships/chart" Target="charts/chart11.xml"/><Relationship Id="rId13" Type="http://schemas.openxmlformats.org/officeDocument/2006/relationships/chart" Target="charts/chart12.xml"/><Relationship Id="rId14" Type="http://schemas.openxmlformats.org/officeDocument/2006/relationships/chart" Target="charts/chart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Ktorá droga patrí medzi nelegálne drogy na Slovensku?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4"/>
                <c:pt idx="0">
                  <c:v>nikotín</c:v>
                </c:pt>
                <c:pt idx="1">
                  <c:v>alkohol</c:v>
                </c:pt>
                <c:pt idx="2">
                  <c:v>sedatíva (lieky)</c:v>
                </c:pt>
                <c:pt idx="3">
                  <c:v>marihuana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34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Poznáš niekoho zo svojho okolia, kto je závislý od drog?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*žiadna odpoveď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14</c:v>
                </c:pt>
                <c:pt idx="1">
                  <c:v>19</c:v>
                </c:pt>
                <c:pt idx="2">
                  <c:v>2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Ako by si reagoval/a, keby si zistil, že Tvoj kamarát je závislý/á od drog?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3"/>
                <c:pt idx="0">
                  <c:v>je to jeho život, neriešil by som to</c:v>
                </c:pt>
                <c:pt idx="1">
                  <c:v>snažil/a by som sa mu pomôcť</c:v>
                </c:pt>
                <c:pt idx="2">
                  <c:v>*žiadna odpoveď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7</c:v>
                </c:pt>
                <c:pt idx="1">
                  <c:v>25</c:v>
                </c:pt>
                <c:pt idx="2">
                  <c:v>3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Aká je komunikácia medzi Tebou 
a rodičmi?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4"/>
                <c:pt idx="0">
                  <c:v>výborná, viem sa s nimi porozprávať takmer o všetkom</c:v>
                </c:pt>
                <c:pt idx="1">
                  <c:v>dobrá, snažia sa ma vypočuť</c:v>
                </c:pt>
                <c:pt idx="2">
                  <c:v>nie veľmi dobrá, nezvykneme sa rozprávať o problémoch</c:v>
                </c:pt>
                <c:pt idx="3">
                  <c:v>*žiadna odpoveď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17</c:v>
                </c:pt>
                <c:pt idx="1">
                  <c:v>9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ayout>
        <c:manualLayout>
          <c:xMode val="edge"/>
          <c:yMode val="edge"/>
          <c:x val="0.6523125"/>
          <c:y val="0.289555555555556"/>
        </c:manualLayout>
      </c:layout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Rozprával si sa s rodičmi doma
 na tému drogy?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*žiadna odpoveď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15</c:v>
                </c:pt>
                <c:pt idx="1">
                  <c:v>18</c:v>
                </c:pt>
                <c:pt idx="2">
                  <c:v>2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Ako sa prejavuje drogová závislosť?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3"/>
                <c:pt idx="0">
                  <c:v>prehnaná aktivita, veselosť, príjemné pocity</c:v>
                </c:pt>
                <c:pt idx="1">
                  <c:v>nepríjemné pocity, nervozita, agresivita</c:v>
                </c:pt>
                <c:pt idx="2">
                  <c:v>neviem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5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Máš osobnú skúsenosť s drogami?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Pt>
            <c:idx val="5"/>
            <c:spPr>
              <a:solidFill>
                <a:srgbClr val="f79646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5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6"/>
                <c:pt idx="0">
                  <c:v>alkohol</c:v>
                </c:pt>
                <c:pt idx="1">
                  <c:v>cigarety</c:v>
                </c:pt>
                <c:pt idx="2">
                  <c:v>marihuana</c:v>
                </c:pt>
                <c:pt idx="3">
                  <c:v>iné</c:v>
                </c:pt>
                <c:pt idx="4">
                  <c:v>žiadna skúsenosť</c:v>
                </c:pt>
                <c:pt idx="5">
                  <c:v>viac druhov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26</c:v>
                </c:pt>
                <c:pt idx="5">
                  <c:v>3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Ak si siahol po droge, prečo?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5"/>
                <c:pt idx="0">
                  <c:v>chcel som si zlepšiť náladu</c:v>
                </c:pt>
                <c:pt idx="1">
                  <c:v>chcel som si vyriešiť problém</c:v>
                </c:pt>
                <c:pt idx="2">
                  <c:v>chcel som skúsiť, čo to so mnou urobí</c:v>
                </c:pt>
                <c:pt idx="3">
                  <c:v>nudil som sa</c:v>
                </c:pt>
                <c:pt idx="4">
                  <c:v>nemám skúsenosť s drogami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6</c:v>
                </c:pt>
                <c:pt idx="3">
                  <c:v>2</c:v>
                </c:pt>
                <c:pt idx="4">
                  <c:v>26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ayout>
        <c:manualLayout>
          <c:xMode val="edge"/>
          <c:yMode val="edge"/>
          <c:x val="0.6255"/>
          <c:y val="0.211333333333333"/>
        </c:manualLayout>
      </c:layout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Ak si skúsil niektorú drogu, kto Ti ju prvýkrát ponúkol?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4"/>
                <c:pt idx="0">
                  <c:v>kamarát</c:v>
                </c:pt>
                <c:pt idx="1">
                  <c:v>kúpil som si ju sám</c:v>
                </c:pt>
                <c:pt idx="2">
                  <c:v>niekto iný</c:v>
                </c:pt>
                <c:pt idx="3">
                  <c:v>neskúsil som žiadnu drogu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4</c:v>
                </c:pt>
                <c:pt idx="3">
                  <c:v>26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Kde podľa Teba najčastejšie prichádzajú mladí ľudia do kontaktu
 s drogami?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5"/>
                <c:pt idx="0">
                  <c:v>v partii kamarátov</c:v>
                </c:pt>
                <c:pt idx="1">
                  <c:v>na diskotéke</c:v>
                </c:pt>
                <c:pt idx="2">
                  <c:v>na internete</c:v>
                </c:pt>
                <c:pt idx="3">
                  <c:v>inde</c:v>
                </c:pt>
                <c:pt idx="4">
                  <c:v>*žiadna odpoveď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14</c:v>
                </c:pt>
                <c:pt idx="1">
                  <c:v>9</c:v>
                </c:pt>
                <c:pt idx="2">
                  <c:v>2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ayout>
        <c:manualLayout>
          <c:xMode val="edge"/>
          <c:yMode val="edge"/>
          <c:x val="0.733125"/>
          <c:y val="0.284555555555556"/>
        </c:manualLayout>
      </c:layout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Bol si už niekedy opitý/á?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*žiadna odpoveď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</c:v>
                </c:pt>
                <c:pt idx="1">
                  <c:v>31</c:v>
                </c:pt>
                <c:pt idx="2">
                  <c:v>2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Myslíš si, že drogové opojenie vyrieši problémy človeka?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*žiadna odpoveď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4</c:v>
                </c:pt>
                <c:pt idx="1">
                  <c:v>27</c:v>
                </c:pt>
                <c:pt idx="2">
                  <c:v>4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Myslíš si, že fajčenie, alkohol a užívanie drog zabezpečí mladému človeku väčšie uznanie v partii, lebo je to znak dospelosti a sily?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*žiadna odpoveď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3</c:v>
                </c:pt>
                <c:pt idx="1">
                  <c:v>30</c:v>
                </c:pt>
                <c:pt idx="2">
                  <c:v>2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E538-998A-4D04-ACEF-1311D2D3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LibreOffice/5.1.3.2$Windows_x86 LibreOffice_project/644e4637d1d8544fd9f56425bd6cec110e49301b</Application>
  <Pages>8</Pages>
  <Words>697</Words>
  <Characters>3253</Characters>
  <CharactersWithSpaces>3830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2020-11-11T14:33:00Z</dcterms:created>
  <dc:creator>RNDr. Ľubica Krišková</dc:creator>
  <dc:description/>
  <dc:language>sk-SK</dc:language>
  <cp:lastModifiedBy>Admin</cp:lastModifiedBy>
  <dcterms:modified xsi:type="dcterms:W3CDTF">2022-12-08T20:46:00Z</dcterms:modified>
  <cp:revision>35</cp:revision>
  <dc:subject/>
  <dc:title>Povedz NIE drogám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